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449 vom 28. Juni 2016</w:t>
      </w:r>
    </w:p>
    <w:p>
      <w:r>
        <w:t>VD Tribunal cantonal, 2016-06-28, FR</w:t>
      </w:r>
    </w:p>
    <w:p>
      <w:r>
        <w:rPr>
          <w:b/>
        </w:rPr>
        <w:t xml:space="preserve">Quelle: </w:t>
      </w:r>
      <w:r>
        <w:t>https://mcp.opencaselaw.ch/entscheid/vd_findinfo_Jug___2016___449</w:t>
      </w:r>
    </w:p>
    <w:p>
      <w:r>
        <w:t>FR: VD_FINDINFO Jug / 2016 / 449 du 28 juin 2016</w:t>
      </w:r>
    </w:p>
    <w:p>
      <w:r>
        <w:t>IT: VD_FINDINFO Jug / 2016 / 449 del 28 giugno 2016</w:t>
      </w:r>
    </w:p>
    <w:p>
      <w:pPr>
        <w:pStyle w:val="Heading2"/>
      </w:pPr>
      <w:r>
        <w:t>Regeste</w:t>
      </w:r>
    </w:p>
    <w:p>
      <w:r>
        <w:t>LÉSION CORPORELLE SIMPLE, RIXE, LÉGITIME DÉFENSE, FIXATION DE LA PEINE | 123 ch. 2 al. 1 CP, 133 CP, 15 CP, 42 CP, 47 CP, 54 CP</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de I.________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L’appelant reproche aux premiers juges d’avoir retenu qu’il avait porté plusieurs coups de tesson de bouteille à T.________, alors qu’il n’en aurait infligé qu'un seul. Ce grief doit être admis. Il est en effet établi qu'il n'y a eu qu'un seul et unique coup de bouteille. Examinant la qualification juridique des lésions subies par T.________, le Tribunal a mentionné que l’appelant avait porté plusieurs coups au moyen d’un tesson de bouteille (« les coups portés » jugement p. 19, consid. 3.3). Il s’agit manifestement d'une inadvertance, ce d’autant plus que, quelques lignes plus bas, il retient que la blessure à la joue de T.________ était consécutive « au coup » porté par l’appelant (p. 20). Cependant, rien ne laisse à penser que cette indavertance aurait influé sur le jugement et la fixation de la peine infligée à l’appelant.</w:t>
      </w:r>
    </w:p>
    <w:p>
      <w:r>
        <w:rPr>
          <w:b/>
        </w:rPr>
        <w:t>E. 4.1</w:t>
      </w:r>
    </w:p>
    <w:p>
      <w:r>
        <w:t>L'appelant invoque la légitime défense. Il soutient qu'il ne s'agirait pas d'une agression mutuelle comme l’ont retenu les premiers juges, mais d'une attaque de deux individus contre un seul. En brisant une bouteille de verre pour se défendre, il n'aurait fait que réagir au comportement extrêmement menaçant de T.________ et n'en aurait fait usage que lorsqu'il se serait trouvé face à l'arme bien plus dangereuse qu'était le couteau. C'est également en situation de légitime défense qu’il aurait mordu la main de T.________ pour lui faire lâcher son arme. Partant, faute d'illicéité, les actes constitutifs de lésions corporelles simples qualifiées ne seraient pas punissables.</w:t>
      </w:r>
    </w:p>
    <w:p>
      <w:r>
        <w:rPr>
          <w:b/>
        </w:rPr>
        <w:t>E. 4.2</w:t>
      </w:r>
    </w:p>
    <w:p>
      <w:r>
        <w:t>Selon l'art. 15 CP,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(art. 16 al. 1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TF 6B_946/2014 du 7 octobre 2015 consid. 2.2).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 ATF 102 IV 65 consid. 2a).</w:t>
      </w:r>
    </w:p>
    <w:p>
      <w:r>
        <w:rPr>
          <w:b/>
        </w:rPr>
        <w:t>E. 4.3</w:t>
      </w:r>
    </w:p>
    <w:p>
      <w:r>
        <w:t>L’instruction n’a pas permis d’établir qui de I.________ ou de T.________ avait véritablement déclenché les hostilités physiques. Le déroulement des faits n'est pas aisé à reconstituer dans le détail, en particulier le moment précis où l'appelant a frappé T.________ avec le tesson de bouteille. En effet, I.________ a lui-même contesté avoir porté ce coup et a en particulier déclaré : « je n’ai jamais utilisé la bouteille pour me défendre » (PV d’audition n.  6, R. 7, cf. également PV d’audition n. 10, lignes 80-86).). Le témoin [...] a vu T.________ et K.________ infliger des coups à l’appelant, mais n'a vu aucun coup de couteau ou de bouteille (PV d’audition n. 1). [...] a vu T.________ et l’appelant s'insulter, puis T.________ descendre du trottoir sur la chaussée. I.________ a sorti une bouteille de sa veste puis l’a brandie en direction de T.________ qui s’est avancé vers lui. C’est alors que l’appelant a cassé la bouteille pour en brandir le tesson en direction de T.________ qui est venu au contact. Les deux hommes se sont ensuite empoignés et le témoin les a perdus de vue (PV d’audition n. 2). [...] a vu la même chose que [...]. Il a également vu l'empoignade des intéressés, puis T.________ et son comparse tenir, respectivement frapper I.________, avant de voir un couteau voler sur le trottoir (PV d’audition n. 3). [...] n’a vu que la fin de l'altercation, alors que T.________ et K.________ tenaient et frappaient l’appelant qui se trouvait légèrement recroquevillé (PV d’audition n. 4). T.________ a déclaré que I.________ était venu vers lui en lui demandant de lui rendre son téléphone portable. Il lui aurait demandé de partir en brandissant son couteau pour l’intimider. Malgré cela, I.________ serait devenu insistant, aurait tenté de les empêcher de partir en indiquant que des amis allaient arriver et les aurait suivis dans la rue. A un moment donné, T.________ aurait traversé la route en direction de I.________ qui aurait cassé la bouteille qu’il avait dans les mains. L’appelant serait venu vers lui et l’aurait frappé au visage. T.________ se serait alors dit : « la meilleure défense, c'est d’attaquer, comme aux échecs » et lui aurait alors infligé un coup de couteau (PV d’audition n. 5). K.________ a affirmé que l’appelant aurait couru derrière T.________ avec le tesson de bouteille. Ce témoignage doit être écarté. En effet, K.________ présentait un taux moyen d’alcoolémie de 2.73 g/kg au moment critique. Il est en outre un ami de T.________ et est lui-même mis en cause pour avoir frappé l’appelant. Ses déclarations sont pour le surplus contredites par les témoins qui ont assisté à la scène. Enfin, les images de vidéo-surveillance au dossier ne permettent pas de déterminer à quel moment l’appelant a frappé T.________ avec le tesson de bouteille. Elles montrent que dans un premier temps, I.________ a tenté d’empêcher T.________ et K.________ de partir, puis que T.________ s'est éloigné, traversant la chaussée presque jusqu’au trottoir d’en face, avant de revenir en direction de I.________ (P. 24, p. 11). Si ces images et les divers témoignages ne permettent pas de déterminer qui a déclenché les hostilités physiques, ils permettent néanmoins d’établir que T.________ s'était éloigné avant que l'appelant brandisse la bouteille dans sa direction. L'appréciation des premiers juges qui ont retenu que « l'attitude de I.________ a contribué à faire dégénérer le conflit, bien plus qu'à l'apaiser, en particulier lorsqu'il a suivi T.________ après s'être muni d'une bouteille en verre vide, alors que ce dernier manifestait à ce moment l'intention de s'en aller et non de provoquer une bagarre » (jugement p. 21) peut donc être suivie. Dans un tel contexte, il est exclu d’appliquer l’art. 15 CP. L'appel doit donc être rejeté sur ce point. Il en va de même s’agissant de l’application de l’art. 16 CP dont s’est également prévalu l’appelant dès lors que le principe même de la légitime défense n’est pas acquis. En revanche, il n’est pas contesté que I.________ a mordu T.________ après avoir été poignardé dans le dos et ce, dans le but de lui faire lâcher son arme. Or le jugement retient les lésions corporelles simples également pour ce fait (jugement pp. 19-20) et ne s'exprime pas sur la légitime défense en relation avec cet acte en particulier. La légitime défense doit ici être admise et la morsure ne doit pas être prise en considération à la charge de I.________. Celui qui vient de recevoir un coup de couteau peut en effet légitimement désarmer son adversaire, même en recourant à la force, pour faire cesser l'attaque en cours. Sur ce point, le grief doit donc être admis.</w:t>
      </w:r>
    </w:p>
    <w:p>
      <w:r>
        <w:rPr>
          <w:b/>
        </w:rPr>
        <w:t>E. 5</w:t>
      </w:r>
    </w:p>
    <w:p>
      <w:r>
        <w:t>L’appelant conclut à une réduction de peine en invoquant l’art. 54 CP, eu égard aux lésions qu'il a subies.</w:t>
      </w:r>
    </w:p>
    <w:p>
      <w:r>
        <w:rPr>
          <w:b/>
        </w:rPr>
        <w:t>E. 5.1</w:t>
      </w:r>
    </w:p>
    <w:p>
      <w:r>
        <w:t>Conformément à l’art. 54 CP, si l’auteur a été directement atteint par les conséquences de son acte au point qu’une peine serait inappropriée, l’autorité compétente renonce à le poursuivre, à le renvoyer devant le juge ou à lui infliger une peine. Cette disposition a été reprise sans modification de l’ancien art. 66bis CP, sous réserve du titre marginal, qui est nouveau (cf. Message concernant la modification du Code pénal suisse [dispositions générales, entrée en vigueur et application du Code pénal] et du Code pénal militaire ainsi qu'une Loi fédérale régissant la condition pénale des mineurs du 21 septembre 1998, FF 1999, p. 1973). Il s’ensuit que la jurisprudence relative à l’art. 66bis CP demeure applicable malgré l’entrée en vigueur du nouveau droit. Selon les principes dégagés en application de l’ancien droit,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cas extrêmes, pour toute la variété des situations intermédiaires, le juge doit prendre sa décision en analysant les circonstances concrètes du cas d’espèce et il dispose d’un large pouvoir d’appréciation, de sorte que sa décision ne sera annulée que s’il en a abusé (ATF 121 IV 162 consid. 2d ; ATF 117 IV 245 consid. 2a).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consid. 2d ; ATF 119 IV 280 consid. 1). A cet égard, la jurisprudence avait également souligné que si cette disposition n’était pas conçue comme une règle d’exception, elle ne devait pas être interprétée extensivement, le texte légal exigeant d’ailleurs que l’auteur ait été directement atteint par les conséquences de son acte au point qu’une sanction serait inappropriée, ce qui implique qu’il ait été lourdement touché par celles-ci (ATF 119 IV 280 consid. 1b).</w:t>
      </w:r>
    </w:p>
    <w:p>
      <w:r>
        <w:rPr>
          <w:b/>
        </w:rPr>
        <w:t>E. 5.2</w:t>
      </w:r>
    </w:p>
    <w:p>
      <w:r>
        <w:t>En l’espèce, les médecins légistes qui ont examiné I.________ après les faits ont constaté qu’il présentait notamment les lésions suivantes (cf. P. 40) : -              une lésion à bords nets, quasi verticale, au-dessus de l'omoplate droite, à environ 6 cm de la ligne médiane, mesurant environ 8,3 cm de longueur, se dirigeant de haut en bas, d'arrière en avant et dans un axe presque sagittal. Cette lésion a provoqué une infiltration hémorragique sous-cutanée et intramusculaire au niveau du dos, une discrète atteinte du lobe supérieur du poumon droit ainsi qu'un discret hémo- et pneumothorax droits; -              une plaie filiforme en « V » très superficielle, située sur la face dorsale de l'index au regard de l'articulation métacarpo-phalangienne, mesurant environ 2 cm de long ; -              une abrasion ovalaire mesurant environ 3 cm de grand axe sur la face postérieure du poignet. Ces lésions n'ont pas concrètement mis en danger la vie de l’appelant. Toutefois, selon le rapport du CHUV du 24 février 2016 (P. 56) : « le décollement pulmonaire ayant provoqué le pneumothorax traduit la certitude que la lame a traversé la paroi thoracique et aurait pu léser le poumon ou un gros vaisseau provoquant de ce fait une mise en danger grave de la vie de la victime ». A l’instar des premiers juges, on doit considérer que ces lésions ne sont pas les conséquences directes et immédiates de l'acte de l'appelant. En effet, ce ne sont pas elles qui ont causé les lésions qu’il a subies, mais bien la riposte illicite de T.________. L'application de l'art. 54 CP apparaît ainsi d’emblée exclue et le grief doit être rejeté. On peut cependant tenir compte de ces conséquences indirectes dans le cadre de la fixation de la peine.</w:t>
      </w:r>
    </w:p>
    <w:p>
      <w:r>
        <w:rPr>
          <w:b/>
        </w:rPr>
        <w:t>E. 6</w:t>
      </w:r>
    </w:p>
    <w:p>
      <w:r>
        <w:t>L'appelant estime sa peine trop sévère et requiert que celle-ci soit assortie d’un sursis. Il conteste en particulier que les conditions objectives du sursis ne soient pas réalisées et soutient que l'art. 42 al. 2 CP ne trouverait pas application.</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w:t>
      </w:r>
    </w:p>
    <w:p>
      <w:r>
        <w:rPr>
          <w:b/>
        </w:rPr>
        <w:t>E. 6.1.2</w:t>
      </w:r>
    </w:p>
    <w:p>
      <w:r>
        <w:t>Conformément à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En cas de peine privative de liberté d'un à deux ans, le sursis prévu à l'art. 42 al. 1 CP constitue la règle à laquelle on ne peut déroger qu'en présence d'un pronostic défavorable ou hautement incertain (ATF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p. 5). Selon la doctrine, l'art. 42 al. 2 CP ne s’appliquerait qu’en présence d’une seule condamnation antérieure, et non si l’auteur a été condamné à plusieurs peines, même si l’addition de leurs durées dépasse six mois ou 180 jours-amende (Dupuis et al. [éd.], Petit commentaire, Code pénal, Bâle 2012, n. 19 ad art. 42 CP).</w:t>
      </w:r>
    </w:p>
    <w:p>
      <w:r>
        <w:rPr>
          <w:b/>
        </w:rPr>
        <w:t>E. 6.2</w:t>
      </w:r>
    </w:p>
    <w:p>
      <w:r>
        <w:t>qui précède.</w:t>
      </w:r>
    </w:p>
    <w:p>
      <w:r>
        <w:rPr>
          <w:b/>
        </w:rPr>
        <w:t>E. 7</w:t>
      </w:r>
    </w:p>
    <w:p>
      <w:r>
        <w:t>L'appelant conteste enfin la répartition des frais de la procédure. Il n’a toutefois développé aucun argument. Compte tenu des faits retenus à sa charge, la répartition opérée par les premiers juges qui ont condamné I.________ et T.________ à supporter chacun leurs propres frais de justice, y compris les indemnités de leurs défenseurs d’office respectifs, ne prête par le flanc à la critique et doit être confirmée.</w:t>
      </w:r>
    </w:p>
    <w:p>
      <w:r>
        <w:rPr>
          <w:b/>
        </w:rPr>
        <w:t>E. 8</w:t>
      </w:r>
    </w:p>
    <w:p>
      <w:r>
        <w:t>En définitive, l’appel de I.________ doit être partiellement admis. Le jugement attaqué sera réformé dans le sens du considérant</w:t>
      </w:r>
    </w:p>
    <w:p>
      <w:r>
        <w:rPr>
          <w:b/>
        </w:rPr>
        <w:t>E. 9</w:t>
      </w:r>
    </w:p>
    <w:p>
      <w:r>
        <w:t>La liste des opérations produite par Me Laurent Schuler indique que 14h15 heures ont été consacrées à l’accomplissement de son mandat, dont 7 heures par son stagiaire. Vu la connaissance du dossier acquise en première instance, les opérations nécessaires à la procédure d’appel et compte tenu du fait que les opérations effectuées par le stagiaire ne ressortent pas de la liste des opérations, il convient d’arrêter l’indemnité de défenseur d’office à 2'673 francs. Ce montant correspond à une activité de 7 heures et 15 minutes au tarif avocat et de 4 heures au tarif avocat-stagiaire, auquel sont ajoutés deux vacations, 50 fr. de débours et la TVA.</w:t>
      </w:r>
    </w:p>
    <w:p>
      <w:r>
        <w:rPr>
          <w:b/>
        </w:rPr>
        <w:t>E. 10</w:t>
      </w:r>
    </w:p>
    <w:p>
      <w:r>
        <w:t>Vu l'issue de la cause, les frais de la procédure d'appel, par 5'508 fr. 40 constitués entre autres de l'émolument d’arrêt, par 2'160 fr. (art. 21 al. 1 et 2 TFIP [Tarif des frais de procédure et indemnités en matière pénale du 28 septembre 2010 ; RSV 312.03.1]) et de l’indemnité allouée au défenseur de l’appelant, seront mis par moitié à la charge de I.________, le solde étant laissé à la charge de l’Etat. I.________ ne sera tenu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