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446 vom 17. Juni 2016</w:t>
      </w:r>
    </w:p>
    <w:p>
      <w:r>
        <w:t>VD Tribunal cantonal, 2016-06-17, FR</w:t>
      </w:r>
    </w:p>
    <w:p>
      <w:r>
        <w:rPr>
          <w:b/>
        </w:rPr>
        <w:t xml:space="preserve">Quelle: </w:t>
      </w:r>
      <w:r>
        <w:t>https://mcp.opencaselaw.ch/entscheid/vd_findinfo_Jug___2016___446</w:t>
      </w:r>
    </w:p>
    <w:p>
      <w:r>
        <w:t>FR: VD_FINDINFO Jug / 2016 / 446 du 17 juin 2016</w:t>
      </w:r>
    </w:p>
    <w:p>
      <w:r>
        <w:t>IT: VD_FINDINFO Jug / 2016 / 446 del 17 giugno 2016</w:t>
      </w:r>
    </w:p>
    <w:p>
      <w:pPr>
        <w:pStyle w:val="Heading2"/>
      </w:pPr>
      <w:r>
        <w:t>Regeste</w:t>
      </w:r>
    </w:p>
    <w:p>
      <w:r>
        <w:t>DROIT DE LA FONCTION PUBLIQUE, EMPLOYÉ PUBLIC, CLASSE DE TRAITEMENT, ARBITRAIRE DANS L'APPLICATION DU DROIT, ÉGALITÉ DE TRAITEMENT, DROIT D'ÊTRE ENTENDU | 29 al. 2 Cst., 8 Cst., 9 Cst., 19 al. 1 LPers-VD, 6 RSRC</w:t>
      </w:r>
    </w:p>
    <w:p>
      <w:pPr>
        <w:pStyle w:val="Heading2"/>
      </w:pPr>
      <w:r>
        <w:t>Erwägungen</w:t>
      </w:r>
    </w:p>
    <w:p>
      <w:r>
        <w:rPr>
          <w:b/>
        </w:rPr>
        <w:t>E. 6</w:t>
      </w:r>
    </w:p>
    <w:p>
      <w:r>
        <w:t>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 b) Alinéa 1 : (….) c) Alinéa 2 :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pas touché. Seule la rémunération est concernée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d) Relation entre les alinéas 1 et 2 Au vu de la pénurie d’enseignants susmentionnée, l’Etat est amené, à titre exceptionnel, à engager des personnes ne disposant ni de la formation de base (titre académique), ni des titres pédagogiques requis pour occuper la fonction considérée. (…) e) Alinéa 3 : (….) 4. Conclusion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Le Tribunal fédéral a considéré dans un arrêt du 5 juin 2013 (TF, 8C_637/2012) que «cette note est le reflet de l’intention du Gouvernement cantonal dans son ensemble. On peut donc admettre que, même si elle a été rédigée a posteriori , elle est censée exprimer la volonté de l’auteur du règlement lors de l’adoption de celui-ci » (TF, 8C_637/2012, consid. 7.5). Dans un autre arrêt récent du 15 octobre 2014, le Tribunal fédéral a confirmé que l’alinéa 1 de l’article 6 RSRC s’applique également au corps enseignant. L’enseignant qui ne bénéficie pas du titre académique exigé – en l’occurrence un bachelor académique – fait donc l’objet d’une pénalité quels que soient ses titres pédagogiques. (8C_418/2013, p.6, consid. 3.2). c) En l’espèce, l’Etat de Vaud, dans sa classification, a posé comme exigence pour l’emploi-type « maître-sse de disciplines académiques », soit le niveau 11 de la chaîne 142, une formation académique de niveau bachelor et pédagogique de niveau master. Le demandeur a initalement obtenu un brevet de l’Ecole normale d’Yverdon. En 1980, il a obtenu un brevet pour l’enseignement dans les classes à options, équivalent au BFC1. Puis, le 20 mars 1992, il a obtenu un brevet pour l’enseignement des travaux manuels. En conséquence, le demandeur ne bénéficie pas des titres requis actuellement pour l’emploi-type « maître-sse de disciplines académiques ». IV. a) Le demandeur fait valoir une violation de l’égalité de traitement garantie à l’article</w:t>
      </w:r>
    </w:p>
    <w:p>
      <w:r>
        <w:rPr>
          <w:b/>
        </w:rPr>
        <w:t>E. 8</w:t>
      </w:r>
    </w:p>
    <w:p>
      <w:r>
        <w:t>Constitution fédérale (RS.101), déplorant la différence de classification entre les maître-sses de disciplines spéciales et les maître-sses de disciplines académiques et invoquant la quasi identité des fiches-emplois les concernant ces deux catégories d’enseignants. b) Selon la jurisprudence, une décision viole le principe de l'égalité de traitement consacré à l'article 8 alinéa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alinéa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(ATF 131 I 105 consid. 3.1; ATF 121 I 49, rés. JdT 1997 I 711; ATF 123 I 1, JdT 1999 I 547). Une différence de salaire entre deux enseignants ayant les mêmes responsabilités et les mêmes types de classes doit pouvoir être justifiée afin d'être acceptable. S'agissant de la rémunération des enseignants, la jurisprudence fédérale considère que des critères fondés sur la formation préalable et les titres obtenus sont des éléments objectifs (ATF 123 I 1). Une différence de rémunération de l'ordre de 20 à 26% entre deux catégories d'enseignants, dont la formation était différente, mais qui enseignaient en partie dans la même école a été également admise par le Tribunal fédéral (TF 2P77/1996 du 27 septembre 1996, consid.2).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(TF 8C_991/2010, consid. 5.3, ATF 123 I 1 déjà cité, consid. 6c), étant rappelé que l'appréciation de certaines fonctions par rapport à d'autres ou sur la base de certains critères d'exigences ne peut jamais se faire de façon objective et exempte de tout jugement de valeur, mais contient inévitablement une marge d'appréciation considérable (ATF 125 II 385, RDAF 2008 I p. 612). Ainsi, en matière d'égalité de traitement des fonctionnaires, le Tribunal fédéral fait preuve d'une certaine retenue (ATF 129 I 161 consid. 3.2). D'une manière générale les autorités cantonales disposent d'un large pouvoir d'appréciation en ce qui concerne les questions d'organisation et de rémunération (ATF 123 I 1, JdT 1999 I 547; ATF 121 I 49, JdT 1997 I 711; ATF 121 I 102 c. 4a). Par ailleurs, le Tribunal fédéral admet qu'un système de rémunération présente nécessairement un certain schématisme (ATF 121 I 102 consid. 4). c) En l’espèce, le demandeur compare deux activités qui sont différentes. Les fiches emplois-types sont certes proches dans leur contenu, ce que S.________ a expliqué par le fait que ce sont des descriptions génériques d’un emploi et non pas un cahier des charges. Il y a cependant des différences significatives entre ces deux fiches, notamment le degré de responsabilités et de compétences attendues, plus élevé pour les maître-sses de disciplines académiques. De plus, les maître-sses de disciplines académiques interviennent plus souvent dans les conseils de classes, ou les entretiens avec les parents d’élèves. L’inégalité de traitement ne s’applique qu’aux situations comparables, ce qui n’est pas le cas concernant les maître-sses de disciplines spéciales et académiques (TD09.009789). Pour ces motifs, le grief doit être rejeté. V. a) Le demandeur a invoqué l’arbitraire dans l’application de la méthode GFO, au motif du manque d’accès aux pièces déterminantes, ainsi que celui de l’absence de mise en œuvre d’une expertise. Il n’a en revanche pas contesté le fait que, dans l’abstrait, la méthode GFO apparaît non arbitraire. Fondé sur la jurisprudence du TRIPAC (TD09.007014) ainsi que celle du Tribunal fédéral (ATF 138 I 49), le défendeur a rappelé qu’est déterminant le fait que le résultat du système ne présente pas un caractère arbitraire. La question serait ainsi dépourvue de pertinence. b) Selon la jurisprudence, l'arbitraire, prohibé par l'article 9 Cst., ne résulte pas du seul fait qu'une autre solution pourrait entrer en considération ou même qu'elle serait préférable ;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consid. 2b, 60 consid. 5a p. 70; ATF 126 I 168 consid. 3a; ATF 125 I 166 consid. 2a). On rappellera par ailleurs que les autorités cantonales disposent d'un large pouvoir d'appréciation en ce qui concerne les questions de rémunération (ATF 123 I 1, JdT 1999 I 547; ATF 121 I 49, JdT 1997 I 711, ATF 121 I 102 c. 4a précités). Conformément à l'article 29 alinéa 2 Cst.,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Par ailleurs, lorsque les preuves administrées permettent à l ’autorité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consid. 4.4). c) En l’espèce, B.________, soit le Directeur général de l’enseignement obligatoire ainsi que S.________, responsable du domaine du Service du Personnel de l’Etat de Vaud ont été entendus en qualité de témoin sur l’application de DECFO-SYSREM ainsi que sur la situation particulière du demandeur. S.________ s’est, en outre, déterminé par écrit et de manière détaillée sur les questions précises du demandeur. De plus, certains documents, notamment les fiches des emploi-types et la notation de la fonction 14210 et 14211, ont été produits. D’autres documents, dont le rapport méthodologique du système de classification sont accessibles à tous sur le site internet de l’Etat de Vaud. Le Tribunal de céans a d’abord admis de soumettre le cas du demandeur à une expertise. Les parties n’ont pas réussi à trouver d’accord à ce sujet, si bien que le tribunal a tenu une audience supplémentaire afin de débattre de la question de l’expertise. Les parties se sont finalement mises d’accord pour soumettre des questions à M. S.________ qui s’est déterminé de manière précise sur dix pages. Le Tribunal de céans a donc largement et suffisamment instruit la cause. Partant, ce grief doit être rejeté. VI. a) Le demandeur a également soutenu que sa classification inférieure à celle de maîtres de disciplines académiques résulterait du fait qu’il exerce une profession typiquement féminine, donc une profession moins reconnue ou considérée. b) L’égalité de traitement est garantie par l’article 8 de la Constitution fédérale. L’homme et la femme ont droit à un salaire égal pour un travail de valeur égale au sens de l' en relation avec l', ainsi qu’un droit égal sur les conditions de fait requises pour qu’une profession soit identifiée à un genre en vue de l'examen d'une éventuelle discrimination salariale (indirecte) fondée sur le sexe (ATF 141 II 411). En admettant la qualification de profession typiquement féminine dans l’hypothèse d’une proportion de femmes de 70% dans une même profession à l’intérieur d’un canton, la Haute Cour reconnaît donc que la rémunération de cette fonction peut et doit faire l'objet d'un examen sous l'angle de l'interdiction de la discrimination salariale fondée sur le sexe, en particulier sur l'existence éventuelle de motifs non objectifs, à caractère discriminatoire, en raison desquels la profession dite féminine n’aurait pas été colloquée correctement. c) En matière de fardeau de la preuve, l’article 6 LEg déroge au système général de l’article 8 CC: l’existence d’une discrimination est présumée lorsque le justiciable la rend vraisemblable. En l’espèce, le défendeur a produit, à l’audience de jugement, un tableau indiquant le nombre d’hommes et de femmes dans l’emploi-type maître-sse de disciplines spéciales, respectivement académiques, duquel il ressort un pourcentage de 74% de femmes. Toutefois, le demandeur n’a pas rendu vraisemblable que la classification de cet emploi-type comportait une discrimination. Il a omis de démontrer, au stade de la vraisemblance, en quoi précisément le caractère féminin dudit emploi impliquerait une discrimination dans son cas particulier d’enseignant de travaux manuels. A fortiori, le demandeur n’a pas rapporté la preuve stricte de la discrimination. Partant, le grief n’est pas suffisamment étayé et doit être rejeté. VII. a) Au regard des éléments qui précèdent, les conclusions du demandeur doivent être intégralement rejetées. b) Les frais judiciaires sont arrêtés à 4’510 fr. (quatre mille cinq cent dix francs) à la charge du demandeur L.________, et à 2'810 fr. (deux mille huit cent dix francs) à la charge du défendeur ETAT DE VAUD (art. 16 al. 7 LPers ; 154, 180 al. 1, 181 al. 1, 183 aTFJC), selon le décompte suivant : Demanderesse : Dépôt de la demande :         1’000.- fr. Audience de conciliation :     1’000.- fr. Audience de jugement :              1’000.- fr. du 12.01.2011 Audition de  témoins : 60.- fr Audience incidente :              450- fr. du 07.01.2013 Audience de jugement :               500.- fr. du 04.12.2014 Audience de jugement :               500.- fr. du 05.04.2016 Défendeur : Réponse : 250.- fr. Audience de conciliation :              250.- fr. Audience de jugement : 1’250.- fr. du 12.01.2011 Frais de témoins : 60.- fr Audience de jugement : 500.- fr. du 04.12.2014 Audience de jugement : 500.- fr. du 05.04.2016 Obtenant gain de cause, le défendeur devrait logiquement être mis au bénéfice de dépens, ce d’autant qu’il a procédé par l’intermédiaire d’un mandataire externe. Toutefois, dans un souci d’équité, et compte tenu d’une certaine opacité liée à la manière dont la classe 10 a été mise en place pour les enseignants de travaux manuels, sans documentation particulière, mais par recoupement, il apparaît légitime de laisser à chaque partie ses frais et de renoncer à mettre à la charge du demandeur des dépens pour le conseil de la partie défenderesse. Le Tribunal relève qu’il n’a pas été facile d’obtenir toutes les explications nécessaires de la part du défendeur, alors qu’on aurait pu attendre de l’employeur qu’il les amène spontanément, ce qui justifie aussi de renoncer à l’allocation de dépens en faveur de la collectivité publique qu’est la partie défenderesse. Statuant au complet et à huis clos, immédiatement à l'issue de l'audience du 5 avril 2016, le Tribunal de prud'hommes de l'Administration cantonale prononce : I. Les conclusions prises par le demandeur L.________ le 27 janvier 2009 telles que précisées le 5 avril 2016 sont intégralement rejetées ; II. Les frais judiciaires sont arrêtés à 4’510 fr. (quatre mille cinq cent dix francs) à la charge du demandeur L.________, et à 2'810 fr. (deux mille huit cent dix francs) à la charge du défendeur ETAT DE VAUD; III. Le présent jugement est rendu sans dépens. IV. Toutes autres ou plus amples conclusions sont rejetées. La présidente : La greffière : Christine SATTIVA SPRING, v.-p.              Marie-Alice NOËL, a.h . Du 26 septembre 2016 Les motifs du jugement qui précède sont notifiés aux parties. Recours : Les parties peuvent recourir auprès du Tribunal cantonal dans un délai de trente jours dès la notification de la présente décision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ci-dessus. Recours en matière de frais uniquement : Si seul le montant des frais est contesté, les parties peuvent recourir auprès du Président du Tribunal cantonal dans un délai de dix jours dès la présente notification par déclaration écrite et signée indiquant les points sur lesquels la décision est critiquée (art. 23 aTFJC).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