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437 vom 20. Juli 2016</w:t>
      </w:r>
    </w:p>
    <w:p>
      <w:r>
        <w:t>VD Tribunal cantonal, 2016-07-20, FR</w:t>
      </w:r>
    </w:p>
    <w:p>
      <w:r>
        <w:rPr>
          <w:b/>
        </w:rPr>
        <w:t xml:space="preserve">Quelle: </w:t>
      </w:r>
      <w:r>
        <w:t>https://mcp.opencaselaw.ch/entscheid/vd_findinfo_Jug___2016___437</w:t>
      </w:r>
    </w:p>
    <w:p>
      <w:r>
        <w:t>FR: VD_FINDINFO Jug / 2016 / 437 du 20 juillet 2016</w:t>
      </w:r>
    </w:p>
    <w:p>
      <w:r>
        <w:t>IT: VD_FINDINFO Jug / 2016 / 437 del 20 luglio 2016</w:t>
      </w:r>
    </w:p>
    <w:p>
      <w:pPr>
        <w:pStyle w:val="Heading2"/>
      </w:pPr>
      <w:r>
        <w:t>Regeste</w:t>
      </w:r>
    </w:p>
    <w:p>
      <w:r>
        <w:t>PRINCIPE DE L'ACCUSATION, LÉSION CORPORELLE GRAVE, LÉSION CORPORELLE SIMPLE, PRÉSOMPTION D'INNOCENCE, MISE EN DANGER DE LA VIE D'AUTRUI{ART. 129 CP}, RÉVOCATION DU SURSIS, SURSIS À L'EXÉCUTION DE LA PEINE, TORT MORAL, FIXATION DE LA PEINE | 47 CO, 122 CP, 123 ch. 2 CP, 129 CP, 42 al. 1 CP, 46 CP, 47 CP, 115 al. 1 let. b LEtr, 10 CPP (CH), 324 CPP (CH), 9 CPP (CH)</w:t>
      </w:r>
    </w:p>
    <w:p>
      <w:pPr>
        <w:pStyle w:val="Heading2"/>
      </w:pPr>
      <w:r>
        <w:t>Erwägungen</w:t>
      </w:r>
    </w:p>
    <w:p>
      <w:r>
        <w:rPr>
          <w:b/>
        </w:rPr>
        <w:t>E. 1</w:t>
      </w:r>
    </w:p>
    <w:p>
      <w:r>
        <w:t>J.________</w:t>
      </w:r>
    </w:p>
    <w:p>
      <w:r>
        <w:rPr>
          <w:b/>
        </w:rPr>
        <w:t>E. 1.1</w:t>
      </w:r>
    </w:p>
    <w:p>
      <w:r>
        <w:t>et les références citées).</w:t>
      </w:r>
    </w:p>
    <w:p>
      <w:r>
        <w:rPr>
          <w:b/>
        </w:rPr>
        <w:t>E. 1.2</w:t>
      </w:r>
    </w:p>
    <w:p>
      <w:r>
        <w:t>Le casier judiciaire suisse de J.________ fait état des quatre condamnations suivantes : - 06.10.2006, Juge d’instruction de Lausanne, vol, dommages à la propriété, violation de domicile et contravention à la LStup, 45 jours d’emprisonnement, avec sursis pendant 2 ans ; - 15.04.2013, Ministère public de l’arrondissement de Lausanne, vol, vol d’importance mineure et violation de domicile, peine privative de liberté de 30 jours et 200 fr. d’amende ; - 15.11.2013, Ministère public de l’arrondissement de Lausanne, menaces, violation de domicile et violence ou menace contre les autorités et les fonctionnaires, peine privative de liberté de 4 mois et 500 fr. d’amende ; - 14.04.2014, Ministère public de l’arrondissement de Lausanne, vol d’importance mineure et violation de domicile, peine privative de liberté de 7 jours et 300 fr. d’amende.</w:t>
      </w:r>
    </w:p>
    <w:p>
      <w:r>
        <w:rPr>
          <w:b/>
        </w:rPr>
        <w:t>E. 2</w:t>
      </w:r>
    </w:p>
    <w:p>
      <w:r>
        <w:t>U.________</w:t>
      </w:r>
    </w:p>
    <w:p>
      <w:r>
        <w:rPr>
          <w:b/>
        </w:rPr>
        <w:t>E. 2.1</w:t>
      </w:r>
    </w:p>
    <w:p>
      <w:r>
        <w:t>et les références citées).</w:t>
      </w:r>
    </w:p>
    <w:p>
      <w:r>
        <w:rPr>
          <w:b/>
        </w:rPr>
        <w:t>E. 2.2</w:t>
      </w:r>
    </w:p>
    <w:p>
      <w:r>
        <w:t>Le casier judiciaire suisse de U.________ fait état des sept condamnations suivantes : - 13.06.2012, Tribunal pénal de la Sarine, délit manqué de lésions corporelles graves et agression, peine privative de liberté de 30 mois, dont 15 mois avec sursis pendant 5 ans ; - 19.03.2013, Ministère public du canton de Fribourg, opposition aux actes de l’autorité et non-respect d’une assignation à un lieu de résidence ou interdiction de pénétrer dans une région déterminée, peine privative de liberté de 20 jours ; - 01.07.2013, Ministère public du canton de Fribourg, lésions corporelles simples, non-respect d’une assignation à un lieu de résidence ou interdiction de pénétrer dans une région déterminée, voyage sans titre validé selon la LTV et contravention à la LStup, peine privative de liberté de 90 jours et 500 fr. d’amende, peine partiellement complémentaire à celle prononcée le 19 mars 2013 par le Ministère public du canton de Fribourg ; - 18.10.2013, Ministère public du canton de Fribourg, contravention et délit à la LStup, non-respect d’une assignation à un lieu de résidence ou interdiction de pénétrer dans une région déterminée, peine privative de liberté de 45 jours et 200 fr. d’amende ; - 16.01.2014, Ministère public de l’arrondissement de Lausanne, séjour illégal, peine privative de liberté de 30 jours ; - 10.07.2014, Ministère public de l’arrondissement de Lausanne, séjour illégal et contravention à la LStup, peine privative de liberté de 60 jours et 300 fr. d’amende, peine partiellement complémentaire à celles prononcées les 18 octobre 2013 par le Ministère public du canton de Fribourg et 16 janvier 2014 par le Ministère public de l’arrondissement de Lausanne ; - 31.10.2014, Ministère public de l’arrondissement de Lausanne, recel d’importance mineure, séjour illégal et contravention à la LStup, peine privative de liberté de 90 jours et 100 fr. d’amende, peine partiellement complémentaire à celle prononcée le 10 juillet 2014 par le Ministère public de l’arrondissement de Lausanne.</w:t>
      </w:r>
    </w:p>
    <w:p>
      <w:r>
        <w:rPr>
          <w:b/>
        </w:rPr>
        <w:t>E. 3</w:t>
      </w:r>
    </w:p>
    <w:p>
      <w:r>
        <w:t>J.________</w:t>
      </w:r>
    </w:p>
    <w:p>
      <w:r>
        <w:rPr>
          <w:b/>
        </w:rPr>
        <w:t>E. 3.1</w:t>
      </w:r>
    </w:p>
    <w:p>
      <w:r>
        <w:t>J.________ invoque d'abord une violation de la maxime accusatoire. Il fait valoir que le tribunal aurait retenu des faits qui ne figuraient pas dans l'acte d'accusation concernant les événements du 14 juin 2014. Les premiers juges auraient fait état d'un coup de couteau donné par l'appelant à la Place de la Riponne, alors que l'acte d'accusation situe cette agression à la rue Pré‑du‑Marché 15.</w:t>
      </w:r>
    </w:p>
    <w:p>
      <w:r>
        <w:rPr>
          <w:b/>
        </w:rPr>
        <w:t>E. 3.1.1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références citées). Selon la jurisprudence constante, des imprécisions relatives au lieu ou à la date sont sans portée, dans la mesure où le prévenu ne peut avoir de doute sur le comportement qui lui est reproché (TF 6B_548/2015 du 29 juin 2015 consid.</w:t>
      </w:r>
    </w:p>
    <w:p>
      <w:r>
        <w:rPr>
          <w:b/>
        </w:rPr>
        <w:t>E. 3.1.2</w:t>
      </w:r>
    </w:p>
    <w:p>
      <w:r>
        <w:t>En l’occurrence, c 'est en vain que l'appelant voit dans les différences de lieux figurant dans l'acte d'accusation et dans le jugement du tribunal de première instance une violation de l'art. 9 al. 1 CPP. Il faut en effet constater que J.________ interprète à sa guise le jugement, lorsqu'il affirme que les premiers juges auraient retenu que le coup de couteau aurait été donné à G.________ à la Place de la Riponne. En réalité, les juges précisent uniquement que l'appelant a abordé sa victime à la place de la Riponne, indiquant que les choses se sont ensuite rapidement envenimées et faisant alors état du coup de couteau, tel que formulé dans l'acte d'accusation. Or, d'une part, il apparaît que les antagonistes étaient en déplacement durant les différentes phases des agressions, étant précisé que l'acte d'accusation comporte deux chiffres distincts pour les décrire, selon qu'il s'agit de l'accusation de J.________ ou de celle de U.________ et que, d'autre part, le lieu retenu dans l'acte d'accusation (rue du Pré-Marché 15) n'est distant que de quelques centaines de mètres de la Place de la Riponne. Ainsi, sous l'angle d'une défense efficace voulue par l'art. 9 CPP, ces distinguos géographiques importent peu. Ce qui est par contre déterminant, c'est que J.________ était clairement accusé d'avoir attaqué, le 14 juin 2014, G.________ au moyen d'un couteau et de lui avoir, par ce moyen, causé les lésions décrites dans l'acte d'accusation. La description des faits dans cet acte permettait donc assurément à J.________ de se défendre efficacement et en connaissance de cause (cf. CAPE 11 mars 2015/54 consid. 6.2). Ce sont d’ailleurs les faits mêmes de l'acte d'accusation qui ont en définitive été retenus par les premiers juges. Dans ces circonstances, o n ne discerne ainsi aucune violation de la maxime accusatoire par les premiers juges.</w:t>
      </w:r>
    </w:p>
    <w:p>
      <w:r>
        <w:rPr>
          <w:b/>
        </w:rPr>
        <w:t>E. 3.2</w:t>
      </w:r>
    </w:p>
    <w:p>
      <w:r>
        <w:t>L’appelant invoque par ailleurs, à titre subsidiaire, une violation de l’art. 122 CP s’agissant des faits du 14 juin 2014. En aucun cas, les lésions subies par G.________ ne pourraient être qualifiées de graves au sens de cette disposition.</w:t>
      </w:r>
    </w:p>
    <w:p>
      <w:r>
        <w:rPr>
          <w:b/>
        </w:rPr>
        <w:t>E. 3.2.1</w:t>
      </w:r>
    </w:p>
    <w:p>
      <w:r>
        <w:t>L’art. 122 CP punit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d’une façon grave et permanente (al. 2), ou aura fait subir à une personne toute autre atteinte grave à l’intégrité corporelle ou à la santé physique ou mentale (al. 3). Aux termes de l’art. 123 ch. 1 CP, se rend coupable de lésions corporelles simples, sur plainte, celui qui, intentionnellement, aura fait subir à une personne une autre atteinte à l’intégrité corporelle ou à la santé. Selon l’art. 123 ch. 2 CP, la poursuite a notamment lieu d’office si le délinquant a fait usage du poison, d’une arme ou d’un objet dangereux (al. 2). L'art. 122 al. 3 CP constitue une clause générale destinée à englober les lésions corporelles du corps humain ou les maladies qui ne sont pas prévues par les alinéas 1 et 2 , mais qui revêtent une importance comparable. Ces lésions doivent être qualifiées de graves dans la mesure où elles impliquent plusieurs mois d'hospitalisation, de longues et graves souffrances ou de nombreux mois d'arrêt de travail.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la longueur du traitement (multiplicité des interventions chirurgicales, etc.), à la durée de la guérison, respectivement de l'arrêt de travail, ou encore à l'impact sur la qualité de vie en général (TF 6B_447/2014 du 30 octobre 2014 consid. 3.2.1).</w:t>
      </w:r>
    </w:p>
    <w:p>
      <w:r>
        <w:rPr>
          <w:b/>
        </w:rPr>
        <w:t>E. 3.2.2</w:t>
      </w:r>
    </w:p>
    <w:p>
      <w:r>
        <w:t>En l’occurrence, l es lésions causées par l’appelant à G.________ consistent en une plaie perforante de 3 cm, sans lésions organiques, ayant nécessité la pose d’onze points de suture. Ainsi, force est de constater que la blessure, même si elle est importante, n’a ni provoqué de lésions internes ni mis en danger la vie de la victime. Or, contrairement à l'appréciation qui doit être faite dans le cadre de l’examen de l'art. 129 CP, c'est bien la lésion, et non pas uniquement le risque mortel par la proximité des organes vitaux, qui doit mettre en danger la vie de la victime aux termes de l'art. 122 al. 1 CP. De la même manière, on ne saurait retenir en l’espèce une mutilation ou une infirmité permanente au sens de l'al. 2 de la disposition. Enfin, au regard de la clause générale de l’art. 122 al. 3 CP, le dossier ne contient aucun certificat médical relatif aux lésions, la description figurant ci-dessus étant du reste contenue dans un rapport d'investigation du 6 mai 2015 (P. 50). Ainsi, il n’existe dès lors aucun élément probant permettant de retenir une atteinte grave à l'intégrité corporelle de G.________. Au vu des éléments qui précèdent, J.________ doit être libéré de l’infraction de lésions corporelles graves et condamné, en lieu et place, de lésions corporelles simples qualifiées au sens de l’art. 123 ch. 2 CP dès lors qu’il a fait usage d’un objet dangereux.</w:t>
      </w:r>
    </w:p>
    <w:p>
      <w:r>
        <w:rPr>
          <w:b/>
        </w:rPr>
        <w:t>E. 3.3</w:t>
      </w:r>
    </w:p>
    <w:p>
      <w:r>
        <w:t>S’agissant des faits du 17 juin 2014, J.________ conteste sa condamnation pour mise en danger de la vie d’autrui. Il invoque une violation de la présomption d’innocence, le tribunal l’ayant condamné sur la base de preuves insuffisantes.</w:t>
      </w:r>
    </w:p>
    <w:p>
      <w:r>
        <w:rPr>
          <w:b/>
        </w:rPr>
        <w:t>E. 3.3.1</w:t>
      </w:r>
    </w:p>
    <w:p>
      <w:r>
        <w:t>supra s’agissant des principes découlant de l’art. 10 CPP.</w:t>
      </w:r>
    </w:p>
    <w:p>
      <w:r>
        <w:rPr>
          <w:b/>
        </w:rPr>
        <w:t>E. 3.3.2</w:t>
      </w:r>
    </w:p>
    <w:p>
      <w:r>
        <w:t>Les premiers juges se sont fondés sur plusieurs éléments pour considérer que les faits du 17 juin 2014, décrits sous chiffre 3.2 ci-dessus, étaient établis (cf. jgt, p. 27 et 28) : les déclarations initiales de U.________, recueillies quelques minutes après l’altercation (P. 18, p. 4), le contenu du rapport médical du Centre hospitalier universitaire vaudois (CHUV), du 4 juillet 2014, qui fait état de lésions compatibles avec l’utilisation d’un cutter (P. 25), les variations dans les déclarations de J.________ (PV aud. 16, 19 et 21) et enfin la déposition du frère de l'appelant (PV aud. 23). Cette appréciation est adéquate et peut être suivie. Il apparaît en effet que J.________ est bien l'auteur d'une agression au cutter sur la personne de U.________ et sa version selon laquelle il se serait borné à se défendre ne résiste pas à l'examen. On peut à cet égard faire sienne l'appréciation des premiers juges qui ont considéré en substance que la version de la victime était bien plus crédible que celle de l'appelant et corroborée par le contenu du rapport médical du CHUV, lequel précise que les lésions constatées étaient compatibles avec la version de la victime. L'appelant échoue d'ailleurs à démontrer qu'il y aurait place pour un doute raisonnable et se borne à critiquer chacun des éléments probatoires séparément, en perdant de vue que les premiers juges ont procédé à une appréciation d'ensemble. Au vu des éléments qui précèdent, les premiers juges ont correctement apprécié les preuves à disposition. Ce grief doit donc être rejeté.</w:t>
      </w:r>
    </w:p>
    <w:p>
      <w:r>
        <w:rPr>
          <w:b/>
        </w:rPr>
        <w:t>E. 3.4</w:t>
      </w:r>
    </w:p>
    <w:p>
      <w:r>
        <w:t>J.________ soutient ensuite que les éléments constitutifs de la mise en danger de la vie d’autrui ne seraient pas réunis, en particulier sur le plan subjectif.</w:t>
      </w:r>
    </w:p>
    <w:p>
      <w:r>
        <w:rPr>
          <w:b/>
        </w:rPr>
        <w:t>E. 3.4.1</w:t>
      </w:r>
    </w:p>
    <w:p>
      <w:r>
        <w:t>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(TF 6B_876/2015 du 2 mai 2016 consid. 2.1 et les références citées).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et CAPE 2 septembre 2015/248 consid. 5.1 et les références citées). Le danger de mort imminent est inhérent au maniement d'un couteau contre la gorge d'une personne, sans opérer de distinction quant à la manière dont la lame (côté tranchant ou dos) est posée sur la gorge (TF 6B_298/2014 du 22 juillet 2014 consid. 5 et les références citées ; cf. aussi CAPE du 15 février 2012/2 consid. 4.1.1).</w:t>
      </w:r>
    </w:p>
    <w:p>
      <w:r>
        <w:rPr>
          <w:b/>
        </w:rPr>
        <w:t>E. 3.4.2</w:t>
      </w:r>
    </w:p>
    <w:p>
      <w:r>
        <w:t>En l'espèce, c’est à juste titre que J.________ a été condamné pour mise en danger de la vie d'autrui. Selon l'état de fait retenu, il a attaqué U.________ depuis l’arrière, au moyen d'un cutter en visant le cou et en blessant son antagoniste, qui se protégeait, au poignet, portant encore ensuite un second coup de cutter sur le flanc de sa victime et lui occasionnant une plaie de 14,5 cm. Comme l'ont retenu les premiers juges (cf. jgt, p. 29 et 30), les coups donnés auraient pu avoir des conséquences mortelles, de par la proximité des atteintes avec des organes vitaux situés dans le haut de la cage thoracique ou dans la cavité abdominale. Sur le plan subjectif, force est de constater que J.________ a agi avec une absence totale de scrupules pour se venger d'un affront subi à peine quelques jours plus tôt. Partant, la condamnation de J.________ pour infraction à l’art. 129 CP doit donc être confirmée et le grief rejeté.</w:t>
      </w:r>
    </w:p>
    <w:p>
      <w:r>
        <w:rPr>
          <w:b/>
        </w:rPr>
        <w:t>E. 3.5</w:t>
      </w:r>
    </w:p>
    <w:p>
      <w:r>
        <w:t>L’appelant critique encore l’étendue de la peine fixée en première instance et requiert en tout état de cause le prononcé d’une peine avec sursis. Il conteste également le montant de l’amende qui lui a été infligée pour sanctionner la contravention commise.</w:t>
      </w:r>
    </w:p>
    <w:p>
      <w:r>
        <w:rPr>
          <w:b/>
        </w:rPr>
        <w:t>E. 3.5.1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6B_129/2015 du 11 avril 2016 consid. 3.1 non publié in ATF 142 IV 89).</w:t>
      </w:r>
    </w:p>
    <w:p>
      <w:r>
        <w:rPr>
          <w:b/>
        </w:rPr>
        <w:t>E. 3.5.2</w:t>
      </w:r>
    </w:p>
    <w:p>
      <w:r>
        <w:t>En l'espèce, la Cour de céans refixer une peine dès lors que J.________ doit être condamné pour l’infraction de lésions corporelles simples qualifiées en lieu et place de celle de lésions corporelles graves retenue par les premiers juges. La culpabilité de l'appelant est lourde. A deux reprises, en quelques jours seulement, il a agressé violemment autrui pour des motifs futiles, agissant de surcroît avec lâcheté à l'encontre de U.________. A charge, il doit également être tenu compte de ses antécédents judiciaires et de son attitude durant l’instruction, consistant à reporter la faute sur les autres intervenants. Ainsi, compte tenu de ces éléments, de l’infraction de lésions corporelles simples qualifiées retenue en lieu et place de celle de lésions corporelles graves et du caractère complémentaire de la peine, une peine privative de liberté de 30 mois doit être prononcée à l’encontre de J.________. Le sursis est exclu au moment de prononcer la cinquième condamnation pour un justiciable qui a déjà été condamné à des peines privatives de liberté fermes et qui a récidivé gravement, et ce même si les renseignements obtenus de la Fondation du Levant sont favorables. En effet, J.________ persiste à nier les faits retenus, ce qui empêche toute réelle prise de conscience au sujet de sa dangerosité et qui relativise le constat favorable de l'institution, constat qui fait d'ailleurs état de consommation d'alcool et de stupéfiants à plusieurs reprises durant le séjour en institution. Ainsi, compte tenu de son casier judiciaire et de la nature des infractions commises dans le cadre de la présente procédure, force est de constater qu’un pronostic favorable ne peut être posé. Enfin, au vu de la situation personnelle de J.________, l’amende de 1'500 fr. prononcée par les premiers juges pour sanctionner la contravention à la LStup est excessive et doit être réduite à 300 francs.</w:t>
      </w:r>
    </w:p>
    <w:p>
      <w:r>
        <w:rPr>
          <w:b/>
        </w:rPr>
        <w:t>E. 3.6</w:t>
      </w:r>
    </w:p>
    <w:p>
      <w:r>
        <w:t>Au vu de l’ensemble des éléments qui précèdent, l’appel formé par J.________ doit être partiellement admis. Pour le surplus, dès lors que les conditions de l’art. 429 al. 1 let. c CPP ne sont pas réalisées, il n’y pas lieu d’entrer en matière sur la demande d’indemnisation.</w:t>
      </w:r>
    </w:p>
    <w:p>
      <w:r>
        <w:rPr>
          <w:b/>
        </w:rPr>
        <w:t>E. 4</w:t>
      </w:r>
    </w:p>
    <w:p>
      <w:r>
        <w:t>U.________</w:t>
      </w:r>
    </w:p>
    <w:p>
      <w:r>
        <w:rPr>
          <w:b/>
        </w:rPr>
        <w:t>E. 4.1</w:t>
      </w:r>
    </w:p>
    <w:p>
      <w:r>
        <w:t>U.________ conteste en premier lieu sa condamnation pour agression s’agissant des faits du 14 juin 2014. Il nie ainsi avoir participé à la bagarre et fait valoir à cet égard une constatation erronée des faits et une violation de la présomption d’innocence.</w:t>
      </w:r>
    </w:p>
    <w:p>
      <w:r>
        <w:rPr>
          <w:b/>
        </w:rPr>
        <w:t>E. 4.1.1</w:t>
      </w:r>
    </w:p>
    <w:p>
      <w:r>
        <w:t>Il y a lieu de se référer au considérant</w:t>
      </w:r>
    </w:p>
    <w:p>
      <w:r>
        <w:rPr>
          <w:b/>
        </w:rPr>
        <w:t>E. 4.1.2</w:t>
      </w:r>
    </w:p>
    <w:p>
      <w:r>
        <w:t>La condamnation de U.________ pour agression repose sur des preuves suffisantes et les faits retenus par les premiers juges n'ont aucun caractère erroné. Plusieurs témoins ont en particulier assisté à la scène de passage à tabac de J.________ devant le Cazard. En effet, K.________ (PV aud. 4, R. 4), B.________ (PV aud. 5, R. 5), N.________ (PV aud. 6, R. 6), D.________ (PV aud. 9, R. 5) et enfin X.________ (PV aud. 10, R. 5 et 6), entendues comme personnes appelées à donner des renseignements, ont toutes vu, alors qu’elles se trouvaient devant ou à proximité de l’établissement, U.________ et G.________ rouer de coups J.________, notamment au niveau du visage, d'abord alors que ce dernier était debout, puis lorsqu’il se trouvait au sol. X.________ a en outre indiqué avoir vu G.________ et U.________ poursuivre J.________ avant de s’en prendre à lui. Les dépositions sont donc parfaitement concordantes pour retenir que l'appelant maintenait la victime pendant que G.________ la frappait et qu'il a également donné des coups. L’appréciation faite par les premiers juges ne prête donc pas le flanc à la critique et doit être confirmée. C’est donc à bon droit que les premiers juges ont retenu que U.________ s’était rendu coupable d’agression.</w:t>
      </w:r>
    </w:p>
    <w:p>
      <w:r>
        <w:rPr>
          <w:b/>
        </w:rPr>
        <w:t>E. 4.2</w:t>
      </w:r>
    </w:p>
    <w:p>
      <w:r>
        <w:t>U.________ conteste également sa condamnation pour séjour illégal.</w:t>
      </w:r>
    </w:p>
    <w:p>
      <w:r>
        <w:rPr>
          <w:b/>
        </w:rPr>
        <w:t>E. 4.2.1</w:t>
      </w:r>
    </w:p>
    <w:p>
      <w:r>
        <w:t>Aux termes de l'art. 115 al. 1 let. b LEtr, est puni d'une peine privative de liberté d'un an au plus ou d'une peine pécuniaire quiconque séjourne illégalement en Suisse, notamment après l'expiration de la durée du séjour non soumis à autorisation ou du séjour autorisé. Par arrêté du 18 juin 2010, la Suisse a repris le contenu de la Directive du Parlement européen et du Conseil du 16 décembre 2008 relative aux normes et procédures communes applicables dans les Etats membres au retour des ressortissants de pays tiers en séjour irrégulier (Directive sur le retour 2008/115/CE). A cet égard, le Tribunal fédéral a admis que les juridictions suisses devaient faire leur possible pour mettre en œuvre la jurisprudence européenne relative à cette directive, sans quoi la participation de la Suisse à l'Accord de Schengen pourrait être menacée. Ainsi, selon la jurisprudence de la Cour de justice de l'Union européenne (CJUE), une peine d'emprisonnement pour séjour illégal ne peut être infligée à un ressortissant étranger que si la procédure administrative de renvoi avait été menée à son terme sans succès et que le ressortissant étranger demeurait sur le territoire sans motif justifié de non-retour. Selon la jurisprudence fédérale, la Directive sur le retour n'exclut toutefois pas l'application des dispositions pénales nationales lorsque les autorités administratives ont entrepris toutes les mesures raisonnables pour l'exécution de la décision de retour, mais que la procédure de retour a échoué en raison du comportement de l'intéressé. Le Tribunal fédéral a par ailleurs souligné qu'une sanction pénale pour séjour illicite n'entrait en considération que si le renvoi était objectivement possible et qu'une procédure administrative de renvoi avait été engagée et qu'elle apparaissait d'emblée comme dénuée de toute chance de succès. Une condamnation pénale est également possible lorsque l'étranger n'a pas collaboré à son expulsion ou a évité la prise de mesures administratives en trompant les autorités de la police des étrangers sur sa volonté de quitter la Suisse (TF 6B_1172/2014 du 23 novembre 2015 consid 1.1 et les références citées). En d'autres termes, la punissabilité du séjour illégal est subordonnée à la condition qu'il ne soit objectivement pas impossible pour l'intéressé, par exemple en raison du refus de son Etat d'origine d'accepter son retour ou de lui établir des documents de voyage, de quitter légalement le territoire suisse, respectivement de retourner légalement dans son Etat d'origine. En présence d'une telle impossibilité, la transgression de la loi ne peut pas être reprochée à l'intéressé et le séjour illégal n'est pas susceptible de constituer une infraction pénale. La punissabilité présuppose en effet que la personne concernée ait la possibilité d'adopter un comportement différent (TF 6B_783/2011 du 2 mars 2012 consid. 1.4.2). En revanche, celui qui continue à séjourner en Suisse sans collaborer à l'enquête relative à ses origines et à l'acquisition de ses documents de voyage, alors que sa demande d'asile a été rejetée et son expulsion ordonnée commet une infraction de séjour illégal. En effet, lorsque le séjour perdure non pas en raison de circonstances extérieures sur lesquelles l'intéressé est sans influence, mais parce que l'étranger, tenu de collaborer, ne veut pas quitter la Suisse et met un obstacle à la mise en œuvre de son rapatriement ou de son départ dans les formes légales, ce comportement est punissable. Tel est le cas lorsque la personne en cause disparaît, ne se procure pas ses papiers d'identité ou refuse la collaboration à laquelle est tenue envers les autorités (TF 6B_482/2010 du 7 octobre 2010 consid. 3.2.3).</w:t>
      </w:r>
    </w:p>
    <w:p>
      <w:r>
        <w:rPr>
          <w:b/>
        </w:rPr>
        <w:t>E. 4.2.2</w:t>
      </w:r>
    </w:p>
    <w:p>
      <w:r>
        <w:t>U.________, qui ne conteste pas être en situation irrégulière en Suisse depuis 2011, soutient toutefois qu'il ne dispose pas d'un passeport algérien valable, qu'il a tenté d'en obtenir un auprès de l'Ambassade sans toutefois parvenir au terme de ses démarches et qu'il n’est de ce fait pas en mesure de quitter la Suisse. Il est notoire qu’il n’existe aucun accord de réadmission entre le Suisse et l’Algérie et que les autorités de ce pays n’acceptent pas le retour de ses ressortissants nationaux par une procédure d’expulsion forcée. Il apparaît toutefois, en l’occurrence, que les autorités de police des étrangers ont entrepris les démarches nécessaires, compte tenu de la situation de l’appelant. La décision de renvoi est en effet entrée en force le 29 septembre 2011 (P. 67). Elles ont ensuite délivré à l'intéressé une carte de sortie, le départ devant s'effectuer au plus tard le 15 octobre 2015. U.________ est ainsi en situation irrégulière depuis plusieurs années et sommé de quitter le territoire suisse. Il disposait donc à l'évidence du temps nécessaire pour se faire établir une pièce d'identité lui permettant de quitter la Suisse et ses atermoiements ne font que démontrer qu'il ne collabore en réalité aucunement à son renvoi. Dans ces conditions, c’est à juste titre que les premiers juges ont retenu l'infraction à l'art. 115 al. 1 let. b LEtr à l’encontre de U.________.</w:t>
      </w:r>
    </w:p>
    <w:p>
      <w:r>
        <w:rPr>
          <w:b/>
        </w:rPr>
        <w:t>E. 4.3</w:t>
      </w:r>
    </w:p>
    <w:p>
      <w:r>
        <w:t>L’appelant fait encore valoir que la peine prononcée est trop sévère et qu’elle devrait mieux tenir compte de sa situation personnelle.</w:t>
      </w:r>
    </w:p>
    <w:p>
      <w:r>
        <w:rPr>
          <w:b/>
        </w:rPr>
        <w:t>E. 4.3.1</w:t>
      </w:r>
    </w:p>
    <w:p>
      <w:r>
        <w:t>Il y a lieu de se référer au considérant 3.5.1 supra s’agissant des principes découlant de l’art. 47 CP.</w:t>
      </w:r>
    </w:p>
    <w:p>
      <w:r>
        <w:rPr>
          <w:b/>
        </w:rPr>
        <w:t>E. 4.3.2</w:t>
      </w:r>
    </w:p>
    <w:p>
      <w:r>
        <w:t>La peine prononcée par les premiers juges est adéquate et doit être confirmée. A juste titre en effet, elle tient compte, à charge, des nombreux antécédents de l’appelant, dont une partie pour des actes de violence, et de la gravité des faits d'agression, constitutifs d'une récidive spéciale. Le tribunal de première instance a également pris en compte le caractère complémentaire de la peine et a relativisé à bon droit les renseignements favorables donnés par des proches, tous les autres éléments du dossier démontrant au contraire que U.________ se complait dans un mode de vie de récidiviste. La peine privative de liberté de sept mois infligée à U.________ ne prête donc pas le flanc à la critique.</w:t>
      </w:r>
    </w:p>
    <w:p>
      <w:r>
        <w:rPr>
          <w:b/>
        </w:rPr>
        <w:t>E. 4.4</w:t>
      </w:r>
    </w:p>
    <w:p>
      <w:r>
        <w:t>U.________ conteste également la révocation du sursis qui lui avait été octroyé le 13 juin 2012.</w:t>
      </w:r>
    </w:p>
    <w:p>
      <w:r>
        <w:rPr>
          <w:b/>
        </w:rPr>
        <w:t>E. 4.4.1</w:t>
      </w:r>
    </w:p>
    <w:p>
      <w:r>
        <w:t>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6B_105/2016 du 11 octobre 2016 consid. 1.1 et les références citées).</w:t>
      </w:r>
    </w:p>
    <w:p>
      <w:r>
        <w:rPr>
          <w:b/>
        </w:rPr>
        <w:t>E. 4.4.2</w:t>
      </w:r>
    </w:p>
    <w:p>
      <w:r>
        <w:t>Après avoir été condamné une première fois le 13 juin 2012, force est de constater que U.________ a récidivé à plusieurs reprises, en particulier dans le domaine des atteintes à l'intégrité corporelle de tiers. L'agression du 14 juin 2014 est manifestement celle de trop et le pronostic relatif au comportement futur est clairement défavorable. En outre, l'exécution de la seule peine prononcée à titre principal ne suffit pas pour signifier à l'appelant, en termes de prévention spéciale, qu'aucune récidive d'actes de violence ne peut plus être tolérée. La révocation du sursis s'impose donc.</w:t>
      </w:r>
    </w:p>
    <w:p>
      <w:r>
        <w:rPr>
          <w:b/>
        </w:rPr>
        <w:t>E. 4.5</w:t>
      </w:r>
    </w:p>
    <w:p>
      <w:r>
        <w:t>U.________ soutient enfin que le montant du tort moral qui lui a été alloué est insuffisant.</w:t>
      </w:r>
    </w:p>
    <w:p>
      <w:r>
        <w:rPr>
          <w:b/>
        </w:rPr>
        <w:t>E. 4.5.1</w:t>
      </w:r>
    </w:p>
    <w:p>
      <w:r>
        <w:t>Le juge peut, en vertu de l'art. 47 CO (Code des obligations du 30 mars 1911 ; RS 220) et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l’art. 47 CO, de prononcer en tenant compte des circonstances (cf. art. 4 CC [Code civil suisse du 10 décembre 1907 ; RS 210]) (TF 6B_909/2014 du 21 mai 2015 consid. 3.3.1 et les références citées).</w:t>
      </w:r>
    </w:p>
    <w:p>
      <w:r>
        <w:rPr>
          <w:b/>
        </w:rPr>
        <w:t>E. 4.5.2</w:t>
      </w:r>
    </w:p>
    <w:p>
      <w:r>
        <w:t>Indépendamment du genre de vie mené par U.________, qui pour les premiers juges doit conduire à relativiser le tort moral subi par celui-ci, il faut constater que le montant alloué à ce titre doit avant tout être réduit de manière importante en raison de la faute concomitante consistant avoir commis, en premier, une agression grave qui a conduit J.________ à vouloir se venger, alors même que l'appelant, contrairement à G.________, n'avait pas eu à souffrir du comportement de J.________. En outre – et par chance –, les lésions infligées à l'appelant n'ont en définitive pas eu de conséquences graves pour sa santé, puisqu'aucun organe vital n'a été atteint. Tout bien considéré, le montant du tort moral alloué par les premiers juges est adéquat.</w:t>
      </w:r>
    </w:p>
    <w:p>
      <w:r>
        <w:rPr>
          <w:b/>
        </w:rPr>
        <w:t>E. 4.6</w:t>
      </w:r>
    </w:p>
    <w:p>
      <w:r>
        <w:t>Au vu des éléments qui précèdent, l’appel formé par U.________ doit être rejeté et sa condamnation confirmée. Il n’y a dès lors pas lieu d’entrer en matière sur sa requête en indemnisation au titre de l’art. 429 al. 1 let. c CPP.</w:t>
      </w:r>
    </w:p>
    <w:p>
      <w:r>
        <w:rPr>
          <w:b/>
        </w:rPr>
        <w:t>E. 5</w:t>
      </w:r>
    </w:p>
    <w:p>
      <w:r>
        <w:t>En définitive, l’appel de J.________ doit être partiellement admis et celui de U.________ rejeté. Vu l’issue de la cause, les frais communs de la procédure d’appel, constitués en l’espèce du seul émolument de jugement, par 3'150 fr. (art. 21 al. 1 et 2 TFIP [tarif des frais de procédure et indemnités en matière pénale du 28 septembre 2010 ; RSV 312.03.1]), seront mis par moitié à la charge de U.________ et par un tiers à la charge de J.________, le solde étant laissé à la charge de l’Etat. Me Laurent Rouiller, défenseur d’office de J.________ a produit une liste d’opérations faisant état de 17 heures et 15 minutes de travail pour la procédure d’appel (P. 165). Le temps allégué apparaît toutefois excessif pour certaines opérations compte tenu de la connaissance du dossier acquise en première instance. Ainsi, les opérations liées à la rédaction de la déclaration d’appel seront réduites à 8 heures et 30 minutes. Il convient par conséquent de retenir un total de 14 heures et 15 minutes pour l’activité déployée par Me Laurent Rouiller au tarif horaire de 180 fr., une vacation à 120 fr., 36 fr. 80 de débours, auxquels s’ajoute la TVA, par 217 fr. 75, ce qui correspond à une indemnité de 2'939 fr. 55, qui sera mise, par deux tiers, à la charge de J.________, dès lors qu’il succombe partiellement. Me Christophe Tafelmacher, défenseur d’office de U.________ a produit une liste d’opérations faisant état de 16 heures et 18 minutes de travail pour la procédure d’appel à laquelle il faut ajouter la durée de l’audience d’appel (P. 163). Le temps allégué consacré aux correspondances et aux opérations post-audience est cependant légèrement excessif. Ainsi, la durée des activités de correspondance sera réduite à 3 heures et celle liée aux opérations post‑audience à 30 minutes. Il convient dès lors de retenir un total de 13 heures et 24 minutes pour l’activité déployée par Me Christophe Tafelmacher au tarif horaire de 180 fr., quatre vacations à 120 fr., 50 fr. de débours, auxquels s’ajoute la TVA, par 235 fr. 35, ce qui correspond à une indemnité de 3'177 fr. 35, qui sera mise à la charge de U.________, dès lors qu’il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