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413 vom 3. Mai 2016</w:t>
      </w:r>
    </w:p>
    <w:p>
      <w:r>
        <w:t>VD Tribunal cantonal, 2016-05-03, FR</w:t>
      </w:r>
    </w:p>
    <w:p>
      <w:r>
        <w:rPr>
          <w:b/>
        </w:rPr>
        <w:t xml:space="preserve">Quelle: </w:t>
      </w:r>
      <w:r>
        <w:t>https://mcp.opencaselaw.ch/entscheid/vd_findinfo_Jug___2016___413</w:t>
      </w:r>
    </w:p>
    <w:p>
      <w:r>
        <w:t>FR: VD_FINDINFO Jug / 2016 / 413 du 3 mai 2016</w:t>
      </w:r>
    </w:p>
    <w:p>
      <w:r>
        <w:t>IT: VD_FINDINFO Jug / 2016 / 413 del 3 maggio 2016</w:t>
      </w:r>
    </w:p>
    <w:p>
      <w:pPr>
        <w:pStyle w:val="Heading2"/>
      </w:pPr>
      <w:r>
        <w:t>Regeste</w:t>
      </w:r>
    </w:p>
    <w:p>
      <w:r>
        <w:t>REJET DE LA DEMANDE, PRÉSOMPTION D'INNOCENCE, CONSTATATION DES FAITS, COAUTEUR{DROIT PÉNAL}, FIXATION DE LA PEINE, PRONOSTIC | 139 ch. 1 CP, 144 al. 1 CP, 186 CP, 40 CP, 42 al. 1 CP, 43 CP, 47 CP, 49 al. 2 CP, 51 CP, 10 CPP (CH), 398 al. 3 let. b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CPP) contre le jugement d’un tribunal de première instance qui a clos la procédure (art. 398 al. 1 CPP), l’appel de W.________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 pour constatation incomplète et erronée des faits (b) et pour inopportunité (c)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Niggli/Heer/ Wiprächtiger [éd.], Basler Kommentar, Schweizerische Strafprozess-ordnung, Ju­gend­strafprozessordnung,</w:t>
      </w:r>
    </w:p>
    <w:p>
      <w:r>
        <w:rPr>
          <w:b/>
        </w:rPr>
        <w:t>E. 3</w:t>
      </w:r>
    </w:p>
    <w:p>
      <w:r>
        <w:t>L’appelant ayant déclaré à l’audience d’appel qu’il avait lui-même cassé  la barrière en bois du plaignant lors de sa fuite, seule sa culpabilité concernant l’infraction de vol demeure contestée. Invo­quant la présomption d’innocence, il conteste les faits retenus à sa charge. Il fait valoir que sa version et celle de l’autre prévenu présentent des contradictions insurmontables, que l’on ne saura jamais vraiment ce qui s’est passé, que le dossier ne contient aucun indice permettant d’admettre que les deux prévenus ont agi de concert et qu’il subsiste un doute insurmontable justifiant que l’état de fait le plus favorable soit retenu.</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3.2</w:t>
      </w:r>
    </w:p>
    <w:p>
      <w:r>
        <w:t>En première instance, chacun des deux prévenus a accusé l’autre d’avoir commis le vol et a contesté toute action commune. Le premier juge a toute­fois retenu la coaction sur la base des déclarations du plaignant. Celui-ci a vu les deux voleurs sortir ensemble de son bureau et s’enfuir par la porte de derrière avec le butin et il les a identifiés le jour-même. Dans sa plainte déposée le 1 er novembre 2015 auprès de la Police cantonale vaudoise (P. 5), R.________ a notamment déclaré : « Lorsque je rentrais à mon domicile, j’ai aperçu deux individus sortir du bureau et prendre la fuite par la porte arrière de la maison, que j’avais laissée ouverte, en direction du jardin. Dès lors, j’ai immédia­tement fait appel à vos services. En revoyant les deux individus sur les lieux de l’interpellation, à proximité, je vous confirme qu’il s’agit des deux individus mis en fuite à mon domicile. ». Cette plainte a été déposée le jour des faits et c’est grâce au signalement donné par le plaignant que les deux prévenus, qui avaient pris place dans un bus, ont pu être arrêtés. Le butin se composait d’un ordinateur portable, d’un mini Ipad et de six montres (P. 8/1), dont certaines ont été retrouvées dans le bus précité. Le solde des objets dérobés a été découvert dans une poussette près de la cure du [...]. Lors de sa première audition, W.________ a indiqué qu’il était ce jour-là à la recherche d’une cave où il pourrait dormir, qu’il était demeuré à un arrêt de bus pendant que son camarade était à la recherche d’une cave et que pour sa part, il n’était aucunement impliqué dans un cambriolage (PV aud. 1 p. 3). Lors de sa deuxième audition, il a livré une autre version selon laquelle son camara­de serait venu le chercher à l’arrêt de bus pour l’amener jusque dans la cave du plaignant ou dans une buanderie (PV aud. 4 p. 2). Lors de l’audience du jugement, le prévenu a confirmé ses deux dépositions, ce alors même que celles-ci étaient contradictoires s’agissant de sa présence dans la villa, puis il a soutenu que Y.________ l’avait conduit dans une cave, qu’il s’y était endormi avant d’être réveillé par l’autre qui le pressait  de courir. A l’instar du premier juge, la Cour de céans considère que la décision commune de pénétrer sans droit dans la villa pour y commettre un vol ressort clairement des observations du plaignant qui a surpris les deux auteurs alors qu’ils avaient pillé son bureau et sortaient de sa chambre à coucher selon la précision four­nie à l’audience d’appel. Les explications confuses et contradictoires de l’appe­lant quant à sa présence dans la villa pour squatter les lieux le temps d’y dormir quelques heures se heurtent à la déposition du propriétaire des lieux qui l’a surpris en flagrant délit avec son comparse. Au demeurant, l’appelant n’est pas crédible tant ses diffé­ren­tes versions paraissent absurdes et invraisemblables. Ainsi, le vol et la violation de domicile sont de toute évidence la conséquence d’une décision commu­ne. Au vu de ce qui précède, la cour de céans considère que le prévenu a été condamné sur la base de preuves suffisantes et sans violation de la présomption d’innocence. La convergence des éléments à charge exclut tout doute raisonnable quant au comportement délictueux de W.________. Partant, c’est  juste titre que les faits décrits ont été retenus à la charge de W.________ par le premier juge dont l’appréciation des preuves est adéquate et peut être confirmée.</w:t>
      </w:r>
    </w:p>
    <w:p>
      <w:r>
        <w:rPr>
          <w:b/>
        </w:rPr>
        <w:t>E. 4</w:t>
      </w:r>
    </w:p>
    <w:p>
      <w:r>
        <w:t>L’appelant requiert la réduction de la peine privative de liberté à deux mois et l’octroi du sursis. A l’audience d’appel, le conseil de l’appelant a contesté le genre de la peine. Or, la modification alors apportée par l’appelant à la conclusion IV constitue une conclusion nouvelle qui est irrecevable (art. 399 al. 4 CPP). La Cour de céans se limitera donc à l’examen de la quotité de la peine et du refus de l’octroi du sursis contestés par W.________ dans sa déclaration d’appel.</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inférieure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la peine qu'en cas de circonstances extraordinaires.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arrêts cités).</w:t>
      </w:r>
    </w:p>
    <w:p>
      <w:r>
        <w:rPr>
          <w:b/>
        </w:rPr>
        <w:t>E. 4.1.2</w:t>
      </w:r>
    </w:p>
    <w:p>
      <w:r>
        <w:t>La durée d’une peine privative de liberté est en général de six mois au moins et de 20 ans au plus (art. 40 CP). Le juge suspend l'exécution d'une peine pécuniaire, d'un travail d'intérêt général ou d'une peine privative de liberté de six mois au moins et de deux ans au plus lorsqu'une peine ferme ne paraît pas nécessaire pour détourner l'auteur d'autres crimes ou délits (art. 42 al. 1 CP). 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w:t>
      </w:r>
    </w:p>
    <w:p>
      <w:r>
        <w:rPr>
          <w:b/>
        </w:rPr>
        <w:t>E. 4.2</w:t>
      </w:r>
    </w:p>
    <w:p>
      <w:r>
        <w:t>S’agissant de la quotité de la peine, la Cour de céans fait entièrement sienne la motivation du premier juge. Le prévenu s’est rendu coupable de vol, dommages à la propriété et violation de domicile. Les infractions sont en concours. La culpabilité de W.________ est importante. A charge, on retiendra, outre le concours d’infractions et ses antécédents, l’attitude du prévenu qui a toujours nié les faits et qui a reconnu, à l’audience d’appel seulement, avoir cassé la barrière du plaignant. A décharge, on tiendra compte de sa situation de famille. Au vu des éléments à charge et à décharge et de la culpabilité du prévenu, une peine privative de liberté de quatre mois est adéquate pour sanctionner les infractions commises par lui. L’exécution de sa peine en semi-détention pourra, le cas échéant, lui permettre de conserver un emploi. Mal fondé, ce moyen doit être rejeté. S’agissant du sursis, le pronostic ne peut qu’être défavorable. Ses condamnations antérieures à une peine pécuniaire avec sursis et à une peine privative de liberté de 60 jours ne l’ont pas détourné de ses agissements délictueux, de sorte qu’il faut admettre qu’une peine moins sévère qu’une peine ferme ne pourra pas avoir l’effet de prévention spéciale escompté. La mère de son enfant était au</w:t>
      </w:r>
    </w:p>
    <w:p>
      <w:r>
        <w:rPr>
          <w:b/>
        </w:rPr>
        <w:t>E. 7</w:t>
      </w:r>
    </w:p>
    <w:p>
      <w:r>
        <w:t>e mois de sa grossesse au moment des faits, ce qui va à l’encontre de la prétendue portée stabilisante de ses responsabilités familiales. L’expectative de devenir père ne l’a donc pas dissuadé de commettre ces infractions. Force est donc de constater que seul un pronostic défavorable peut être posé quant au comportement futur du prévenu. Le sursis doit donc lui être refusé. Egalement mal fondé, ce moyen doit être rejeté. 5. En définitive, l’appel interjeté par W.________ doit être rejeté et le jugement entrepris confirmé. Sur la liste des opérations produites (P. 43), le défenseur d’office mentionne une activité de 6,31 heures d’activité d’avocat breveté, sans compter l’audience d’appel du 1 er septembre 2016, et 10 fr. 80 de débours, ainsi qu’une vacation de 120 francs. Il convient donc de retenir 5 heures de travail d’avocat au tarif horaire de 180 fr. et 2,5 heures de travail d’avocat-stagiaire au tarif horaire de 110 francs (TF 6B_810/2010 du 25 mai 2011 consid. 2.4). L’indemnité de défenseur d’office pour la procédure d’appel est par conséquent fixée à 1'366 fr. 20 (900 fr. [avocat breveté] + 275 fr. [avocat-stagiaire] + 80 fr. [vacation] + 10 fr. [débours] + 101 fr. 20 [TVA]). Le prévenu appelant ne sera tenu de rembourser à l’Etat le montant de l’indemnité due à son défenseur d’office que lorsque sa situation financière le permettra (art. 135 al. 4 let. a CPP). Vu l’issue de la cause, les frais de la procédure d’appel, par 3'086 fr. 20, constitués de l’émolument du présent jugement, par 1’720 fr. (art. 21 al. 1 et 2 TFIP [Tarif des frais de procédure et indemnités en matière pénale du 28 septembre 2010 ; RSV 312.03.1]), et de l’indemnité de défenseur d’office allouée à Me Véronique Fontana, par 1'366 fr. 20,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