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41 vom 16. Juni 2015</w:t>
      </w:r>
    </w:p>
    <w:p>
      <w:r>
        <w:t>VD Tribunal cantonal, 2015-06-16, FR</w:t>
      </w:r>
    </w:p>
    <w:p>
      <w:r>
        <w:rPr>
          <w:b/>
        </w:rPr>
        <w:t xml:space="preserve">Quelle: </w:t>
      </w:r>
      <w:r>
        <w:t>https://mcp.opencaselaw.ch/entscheid/vd_findinfo_Jug___2016___41</w:t>
      </w:r>
    </w:p>
    <w:p>
      <w:r>
        <w:t>FR: VD_FINDINFO Jug / 2016 / 41 du 16 juin 2015</w:t>
      </w:r>
    </w:p>
    <w:p>
      <w:r>
        <w:t>IT: VD_FINDINFO Jug / 2016 / 41 del 16 giugno 2015</w:t>
      </w:r>
    </w:p>
    <w:p>
      <w:pPr>
        <w:pStyle w:val="Heading2"/>
      </w:pPr>
      <w:r>
        <w:t>Regeste</w:t>
      </w:r>
    </w:p>
    <w:p>
      <w:r>
        <w:t>VIOLENCE DOMESTIQUE, CONTRAINTE{DROIT PÉNAL}, CONSTATATION DES FAITS, PRÉSOMPTION D'INNOCENCE, FIXATION DE LA PEINE, RESPONSABILITÉ RESTREINTE{DROIT PÉNAL}, PEINE COMPLÉMENTAIRE, RÉVOCATION DU SURSIS, SURSIS À L'EXÉCUTION DE LA PEINE, AMENDEMENT{CONDAMNÉ}, TRAITEMENT AMBULATOIRE, SUSPENSION DE L'EXÉCUTION DE LA PEINE, MESURE DE SUBSTITUTION À LA DÉTENTION | 181 CP, 19 al. 2 CP, 42 al. 2 CP, 46 CP, 47 CP, 49 al. 2 CP, 63 al. 2 CP, 10 CPP (CH), 237 CPP (CH)</w:t>
      </w:r>
    </w:p>
    <w:p>
      <w:pPr>
        <w:pStyle w:val="Heading2"/>
      </w:pPr>
      <w:r>
        <w:t>Erwägungen</w:t>
      </w:r>
    </w:p>
    <w:p>
      <w:r>
        <w:rPr>
          <w:b/>
        </w:rPr>
        <w:t>E. 1</w:t>
      </w:r>
    </w:p>
    <w:p>
      <w:r>
        <w:t>Interjetés dans les forme et délai légaux (art. 399 CPP) par des parties ayant la qualité pour recourir contre le jugement d’un tribunal de première instance ayant clos la procédure (art. 398 al. 1 CPP), l’appel d’E.________ et l’appel joint formé par le Ministère public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L’appelant reproche aux premiers juges d’avoir retenu de manière arbitraire que la rupture de la poche des eaux de la plaignante enceinte avait été causée par les coups qu’il lui avait donnés.</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w:t>
      </w:r>
    </w:p>
    <w:p>
      <w:r>
        <w:t>En l’espèce, aucun élément du dossier ne permet d’affirmer que ce sont les coups portés par l’appelant à la plaignante qui ont entraîné la fissure prématurée de la poche des eaux. Ce grief est donc fondé et l’état de fait a été corrigé en ce sens.</w:t>
      </w:r>
    </w:p>
    <w:p>
      <w:r>
        <w:rPr>
          <w:b/>
        </w:rPr>
        <w:t>E. 4</w:t>
      </w:r>
    </w:p>
    <w:p>
      <w:r>
        <w:t>L’appelant fait valoir que l’infraction de contrainte n’est pas réalisée. Il affirme, en substance, que sa compagne était prête à témoigner en sa faveur car elle voulait le protéger.</w:t>
      </w:r>
    </w:p>
    <w:p>
      <w:r>
        <w:rPr>
          <w:b/>
        </w:rPr>
        <w:t>E. 4.1.1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4.1.2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la;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w:t>
      </w:r>
    </w:p>
    <w:p>
      <w:r>
        <w:rPr>
          <w:b/>
        </w:rPr>
        <w:t>E. 4.2</w:t>
      </w:r>
    </w:p>
    <w:p>
      <w:r>
        <w:t>Dans le cas d’espèce, la plaignante n’a certes pas d’emblée dit que l’appelant l’avait frappée pour qu’elle vienne témoigner en sa faveur, mais elle a clairement expliqué par la suite et notamment à l’audience de jugement que si elle répondait mal aux questions auxquelles il la préparait, il la frappait, et qu’il a proféré des menaces de mort contre elle, contre leur fille, contre sa famille et contre lui-même. Confirmées à l’audience d’appel, ces déclarations sont pleinement convaincantes. En effet, que la plaignante fût amoureuse de lui, qu’elle ait craint que sa fille grandisse sans père et qu’elle ait nourri l’espoir que tout rentrerait dans l’ordre une fois le procès terminé, comme le fait valoir l’appelant, ne change rien au contexte de contrainte et d’extrême terreur dans lequel elle a témoigné. L’appelant perd de vue qu’il exerçait sur elle, depuis de nombreux mois déjà, des violences tant physiques que psychiques. Ajouté le fait que les enjeux pour son avenir étaient considérables, il ne fait absolument aucun doute qu’il lui a infligé des coups et qu’il a proféré de graves menaces pour qu’elle affirme qu’il n’était plus violent. Non seulement il a reconnu qu’il avait menacé de se suicider et que ce témoignage avait été répété (« Nous avons décidé ensemble de ce qu’elle raconterait en audience » PV audition 2 l. 68), mais il a également admis lui avoir infligé des coups dans d’autres circonstances.</w:t>
      </w:r>
    </w:p>
    <w:p>
      <w:r>
        <w:rPr>
          <w:b/>
        </w:rPr>
        <w:t>E. 4.3</w:t>
      </w:r>
    </w:p>
    <w:p>
      <w:r>
        <w:t>Compte tenu de ce qui précède, c’est à juste titre que les premiers juges ont retenu qu’E.________ s’est rendu coupable de contrainte, les conditions constitutives tant objectives que subjectives de cette infraction étant réalisées.</w:t>
      </w:r>
    </w:p>
    <w:p>
      <w:r>
        <w:rPr>
          <w:b/>
        </w:rPr>
        <w:t>E. 5</w:t>
      </w:r>
    </w:p>
    <w:p>
      <w:r>
        <w:t>L’appelant considère que la peine qui lui a été infligée est trop sévère. Il reproche essentiellement aux premiers juges d’avoir retenu qu’il n’avait démontré aucune prise de conscience, alors qu’il s’agissait précisément de l’un des symptômes de sa maladie. De son côté, le Ministère public requiert, dans son appel joint, que la peine privative de liberté soit augmentée à 30 mois.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5.1.2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développés à l’arrêt publié aux ATF 136 IV 55. Partant de la gravité objective de l’acte, le juge doit apprécier la faute.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II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consid. 5.6).</w:t>
      </w:r>
    </w:p>
    <w:p>
      <w:r>
        <w:rPr>
          <w:b/>
        </w:rPr>
        <w:t>E. 5.1.3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(cf. TF 6B_455/2013 du 29 juillet 2013 consid. 2.4.1; TF 6B_28/2008 du 10 avril 2008 consid. 3.3.1).</w:t>
      </w:r>
    </w:p>
    <w:p>
      <w:r>
        <w:rPr>
          <w:b/>
        </w:rPr>
        <w:t>E. 5.2</w:t>
      </w:r>
    </w:p>
    <w:p>
      <w:r>
        <w:t>Procédant à sa propre appréciation, la Cour de céans considère, comme les premiers juges, que la culpabilité d’E.________ est extrêmement lourde. Il s’en est pris à l’un des biens juridiques les plus importants, à savoir l’intégrité corporelle. Il a brutalisé sa compagne durant plus d’une année, se comportant comme un véritable tyran domestique. Il lui a asséné d’innombrables coups de poing, de coude et de pied pour des motifs aussi futiles que l’odeur de son linge ou la qualité de ses repas. L’extrême violence de ses coups ne saurait être restituée sans préciser qu’il a pratiqué du kickboxing de manière intensive. Il n’a eu aucun scrupule à continuer de frapper sa compagne alors qu’elle était enceinte. Il n’a pas non plus hésité à s’en prendre à elle en présence du nouveau-né. Lâche, il lui a interdit l’accès à des soins adéquats. Il l’a isolée de ses amis et de sa famille. A force d’insultes et d’humiliations, il a profondément anéanti son équilibre psychologique rendant encore nécessaire, deux ans après la fin de son calvaire, la poursuite d’une psychothérapie. On relèvera également qu’il a agi alors qu’il était sous le coup d’une enquête pénale pour des faits similaires concernant son ex-épouse. Il a atteint le paroxysme de sa violence en poignardant la plaignante une semaine après avoir été condamné à une peine privative de liberté en partie ferme. Ce n’est que la fuite de F.________ qui a mis un terme à cette escalade de brutalité. A charge, il convient également de retenir le concours d’infractions. Le prévenu a exprimé des regrets contrairement à ce qu’ont retenu les premiers juges. Ces regrets ne sont toutefois guère nombreux et on ne saurait partager l’avis de l’expert qui considère que ceux-ci semblent authentiques et prononcés par le prévenu en pensant aux victimes de ses actes. E.________ semble en effet regretter davantage les conséquences que ses actes ont eu sur sa propre existence que la souffrance qu’il a infligée à la mère de sa fille. Cette absence de compassion est corroborée par le fait qu’il s’évertue à nier les faits les plus graves qui lui sont reprochés. L’appelant a également formulé des excuses qui sont balbutiantes et bien tardives. Il ne les a par ailleurs pas réitérées à l’occasion de l’audience d’appel et n’a rien versé de l’indemnité dont il s’était reconnu débiteur pour le tort moral qu’il avait causé. Il est en revanche trop sévère de considérer, comme l’ont fait les premiers juges, que l’appelant se retranche derrière un nouveau diagnostic psychiatrique pour justifier son comportement et se poser en victime. A cet égard, il convient de relever qu’il ne bénéficiait pas d’un suivi adéquat jusqu’à son incarcération. Dans ce cadre, grâce au diagnostic nouvellement posé et à la médication qui lui a été prescrite contre ses troubles bipolaires, il semble avoir réalisé qu’il avait un problème de violence et qu’il était indispensable qu’il suive une psychothérapie. Toutefois, s’il a pris conscience en partie de ses faiblesses, on ne saurait considérer au vu de ses déclarations qu’il s’est rendu compte de la gravité de son comportement, restant pour l’essentiel centré sur sa personne. Même si son déni est en partie lié à son trouble psychotique comme il le fait valoir, il n’a rien à voir avec le fait qu’il persiste à nier de façon particulièrement déplorable qu’il a infligé volontairement un coup de couteau à la plaignante et proféré des menaces de mort à son encontre : après deux procédures pénales et plusieurs mois de suivi psychologique adéquat, on pouvait attendre de lui un changement d’attitude sur cette question. A sa décharge, il y a lieu de tenir compte de sa situation personnelle, soit de son enfance marquée par la violence, des bons rapports de détention et du fait qu’il a adhéré aux conclusions civiles. Il y a également lieu de retenir une diminution de responsabilité, moyenne, selon l’expertise psychiatrique. La réduction opérée par les premiers juges pour tenir compte de cette diminution de responsabilité est trop linéaire, mais compte tenu de tous les éléments qui précèdent, la peine privative de liberté de 24 mois infligée demeure adéquate. Le début de prise de conscience et les excuses dont les premiers juges n’ont pas tenu compte sont contrebalancés par la gravité et la perversité des actes de l’appelant. Cette lourde peine étant complémentaire, il n’y a pas lieu de l’augmenter comme le requiert le Ministère public.</w:t>
      </w:r>
    </w:p>
    <w:p>
      <w:r>
        <w:rPr>
          <w:b/>
        </w:rPr>
        <w:t>E. 5.3</w:t>
      </w:r>
    </w:p>
    <w:p>
      <w:r>
        <w:t>Tant l’appel d’E.________ que l’appel joint formé par le Ministère public doivent donc être rejetés sur la question de la quotité de la peine.</w:t>
      </w:r>
    </w:p>
    <w:p>
      <w:r>
        <w:rPr>
          <w:b/>
        </w:rPr>
        <w:t>E. 6</w:t>
      </w:r>
    </w:p>
    <w:p>
      <w:r>
        <w:t>L’appelant requiert que sa peine soit assortie d’un sursis.</w:t>
      </w:r>
    </w:p>
    <w:p>
      <w:r>
        <w:rPr>
          <w:b/>
        </w:rPr>
        <w:t>E. 6.1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non publié aux ATF 135 IV 152; ATF 134 IV 1 consid. 4.2.2). La présomption d’un pronostic favorable, respectivement du défaut d’un pronostic défavorable, ne s’applique en revanche plus si durant les cinq ans qui précèdent l’infraction, le prévenu a été condamné à une peine privative de liberté ferme ou avec sursis de six mois au moins ou à une peine pécuniaire de 180 jours-amende au moins. L’octroi du sursis n’entrera alors en considération que si, malgré l’infraction commise, on peut raisonnablement supposer, à l’issue de l’appréciation de l’ensemble des facteurs déterminants, que le condamné s’amendera (ATF 134 IV 1 consid. 4.2.3). Ainsi,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consid. 3.1.3, non publié aux ATF 135 IV 152).</w:t>
      </w:r>
    </w:p>
    <w:p>
      <w:r>
        <w:rPr>
          <w:b/>
        </w:rPr>
        <w:t>E. 6.2</w:t>
      </w:r>
    </w:p>
    <w:p>
      <w:r>
        <w:t>En l’espèce, au moment de la commission des infractions, le prévenu bénéficiait d’un suivi psychiatrique, même si ses troubles bipolaires n’avaient pas été diagnostiqués. Il n’avait en outre pas parlé à son psychiatre de la recrudescence de sa violence, trahissant la confiance de ce dernier. La peur de la sanction pénale n’a eu aucun effet sur lui, dès lors qu’il a agi aussi bien avant qu’après le jugement du 24 janvier 2014. Après avoir été placé en détention provisoire, l’appelant a exécuté la partie ferme de la peine privative de liberté qui lui été avait infligée en 2014, soit une année. Le Dr [...], tout comme la Chambre des recours pénale qui l’a suivi, ont considéré que cette privation de liberté, au cours de laquelle il s’était bien comporté, a eu un effet favorable sur lui. Un nouveau diagnostic médical a été posé et une médication adéquate administrée. Le prévenu a tiré profit de l’exécution de cette peine pour commencer à mettre en place, avec l’aide de sa famille, une prise en charge en vue de sa réinsertion sociale. Son père lui a fourni un logement. En revanche, contrairement à ce qui était prévu, l’entreprise où son père travaille n’a pu lui procurer un poste. L’appelant est donc actuellement sans emploi et bénéficie du revenu d’insertion. Il pourrait être engagé dans huit mois par la société qui dispense la formation qu’il suit par correspondance moyennant la réussite de ses examens. Selon le Dr [...], l’appelant est stable psychiquement et poursuit le traitement médicamenteux qui lui a été prescrit. Le dernier contrôle sanguin s’est révélé négatif au cannabis, substance dont il a été reconnu dépendant. Il se rend aux entretiens et se montre face à lui calme, collaborant, critique sur ses délits et capable de réfléchir sur ses différentes problématiques. Il aborde en outre régulièrement la relation qu’il a nouée avec sa nouvelle amie. Les experts ont considéré que le risque que l’appelant récidive était « relativement important » s’il se retrouvait sans traitement dans une relation affective dysfonctionnelle. Or le prévenu a démontré qu’il souhaitait s’investir dans des relations de couple, retrouvant rapidement après la rupture avec son épouse, une compagne avec laquelle il a eu un enfant. Très rapidement dans le cadre de cette nouvelle relation, il a réitéré des actes de violence extrême. Enfin, un mois seulement après sa sortie de prison, il a retrouvé une nouvelle amie, indiquant sur son profil Facebook, le 21 juillet 2015, qu’il était « en couple ». S’agissant de cette nouvelle relation, on relèvera que le prévenu a fait preuve d’un manque manifeste de franchise. Devant les juges de céans, il a en premier lieu affirmé qu’il avait une nouvelle amie depuis environ trois mois, soit depuis le mois d’octobre, et que celle-ci se prénommait [...]. Or confronté aux pièces produites par la partie adverse à la suite de ses déclarations, il a dû admettre qu’elle se prénommait en réalité [...] et qu’il l’avait rencontrée bien avant. Il s’est alors lancé dans des explications peu convaincantes, indiquant qu’il entretenait à l’époque des relations sexuelles avec une autre femme, que cela n’impliquait pas pour lui une relation de couple, qu’il n’attachait aucune importance au fait d’indiquer sur Facebook qu’il était « en couple » et que sa relation avec [...] – laquelle le considérait comme l’amour de sa vie au mois d’octobre 2015 sur sa page Facebook – n’était « sérieuse » que depuis septembre 2015. Il a enfin affirmé avoir mis le Dr  [...] tout de suite au courant de cette relation. Ces explications ne laisseraient qu’une impression pour le moins mitigée si elles n’étaient pas comparées à celles qu’il a fournies à la FVP. Celle-ci rapporte en l’occurrence que le prévenu a déclaré au début de son suivi qu’il ne désirait pas se remettre en couple « pour l’instant » et qu’il n’a annoncé que le 1 er décembre 2015 qu’il entretenait une nouvelle relation « depuis quelques semaines ». Ce que l’appelant a déclaré à la FVP ne correspond manifestement pas à la vérité. Le fait qu’il mente à nouveau comme il l’a fait face aux premiers experts, au Tribunal correctionnel de La Côte et au psychiatre qui le suivait à l’époque, le fait qu’il tente de dissimuler que le prénom de sa nouvelle compagne est le même que celui de son ex-épouse et qu’il est proche de celui de la plaignante, le fait qu’il ne comprenne pas qu’il n’a d’autre choix que d’être définitivement transparent face à la justice et aux intervenants qui l’encadrent ou, pire, qu’il refuse sciemment de le faire, ne laissent aucune place à un pronostic particulièrement favorable. A cela s’ajoutent les correspondances frappantes entre les déclarations du prévenu devant le Tribunal correctionnel de La Côte et celles qu’il tient aujourd’hui (« je souhaite réparer le dommage causé. […] Je suis conscient que j’ai encore besoin d’un suivi thérapeutique. […] j’arrive à gérer mon comportement impulsif » Jugement du 24 janvier 2014 pp. 21-22) et le fait qu’il contestait aussi les faits les plus graves à l’époque. Par ailleurs, outre les prénoms de ses compagnes, les diverses relations affectives qu’a nouées l’appelant comportent certaines similitudes : son ex-épouse était […], comme sa nouvelle compagne. Il a fait part à cette dernière de ses démêlés avec la justice, comme il l’a fait avec la plaignante. Il a noué relativement rapidement des relations sérieuses après ses ruptures. S’il ne s’agit certes que de coïncidences, celles-ci sont toutefois particulièrement troublantes dans le contexte particulier. Enfin, même s’il a fait des efforts louables et qu’il bénéficie d’un encadrement, sa prise de conscience n’est que peu aboutie et il fait preuve d’une absence de compassion frappante. Sa pathologie et le déni qu’elle engendre apportent des éléments de réponse, mais il est désormais correctement médicalisé et suivi depuis plusieurs mois et n’a guère évolué dans son attitude face à la justice et à sa victime. Si comme l’a relevé le Dr [...] il se montre, tout au moins devant lui, critique sur ses délits, il n’en demeure pas moins qu’il persiste à nier les faits les plus graves qu’il a commis. Il a compris qu’il avait besoin d’aide et le Dr [...] a déclaré aux premiers juges que la détention lui avait fait comprendre la gravité de ses actes. Il semble toutefois avoir saisi l’impact de cette gravité sur sa propre situation, mais pas sur celles de son ex-compagne et de leur fille, pour lesquelles il n’a pas témoigné de compassion. Enfin, même si la nouvelle médication l’a aidé et qu’elle facilite sans doute l’exécution du traitement ambulatoire, sa manière d’imputer à une absence de médication appropriée ses actes témoigne aussi du fait qu’il ne les assume pas encore entièrement. Des circonstances particulièrement favorables ne sauraient découler uniquement de l’existence d’un encadrement tendant à pallier le risque de récidive : encore faut-il un amendement profond du prévenu, lequel fait défaut en l’espèce. Compte tenu des éléments qui précèdent, un pronostic particulièrement favorable ne peut pas être posé. Partant, l’octroi d’un sursis est exclu et l’appel doit être rejeté sur ce point.</w:t>
      </w:r>
    </w:p>
    <w:p>
      <w:r>
        <w:rPr>
          <w:b/>
        </w:rPr>
        <w:t>E. 7</w:t>
      </w:r>
    </w:p>
    <w:p>
      <w:r>
        <w:t>L’appelant conteste la révocation du sursis qui lui a été octroyé le 24 janvier 2014. Il fait valoir en substance que la motivation des premiers juges est lacunaire et erronée.</w:t>
      </w:r>
    </w:p>
    <w:p>
      <w:r>
        <w:rPr>
          <w:b/>
        </w:rPr>
        <w:t>E. 7.1</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commettra de nouvelles infractions, le juge renonce à ordonner la révocation (al. 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 Par analogie avec l'art. 42 al. 1 et 2 CP, le juge se fonde sur une appréciation globale des circonstances du cas d'espèce pour estimer le risque de récidive (ATF 134 IV 140 consid. 4.4 p. 143).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 er mai 2014 consid. 2.2 et les références citées).</w:t>
      </w:r>
    </w:p>
    <w:p>
      <w:r>
        <w:rPr>
          <w:b/>
        </w:rPr>
        <w:t>E. 7.2</w:t>
      </w:r>
    </w:p>
    <w:p>
      <w:r>
        <w:t>Aux éléments retenus précédemment dans le cadre de l’examen de l’octroi d’un sursis qui sont également pertinents ici, il convient d’ajouter que l’appelant a récidivé dans la semaine qui a suivi sa condamnation de janvier 2014, atteignant un degré de violence auquel il n’était jamais parvenu jusque-là à l’encontre de sa compagne. Le prononcé d’une condamnation en partie ferme ne l’a pas dissuadé d’attaquer la plaignante avec un couteau. Or ni cette première condamnation ni l’exécution de la peine ferme prononcée ni le suivi thérapeutique entamé ni la médication prescrite ni la nouvelle procédure pénale n’ont, ensemble, eu l’effet choc escompté auprès de l’appelant puisqu’il s’évertue encore et toujours à contester les faits les plus graves qui lui sont reprochés. Le déni psychotique invoqué n’a qu’une incidence limitée qui doit être relativisée au vu des mois de thérapie adéquate qu’il a désormais suivie. A cela s’ajoute la piètre impression que ses déclarations à l’audience d’appel ont laissé quant à sa pleine et entière transparence et les craintes que celles-ci peuvent légitimement engendrer s’agissant de sa nouvelle relation amoureuse dont les coïncidences avec les précédentes sont troublantes. Sur le vu de ce qui précède, force est de considérer que la peine ferme complémentaire n’est à elle seule pas suffisante pour obtenir un effet dissuasif sur l’appelant. La révocation du sursis qui lui a été octroyé le 24 janvier 2014 s’avère pleinement justifiée, de sorte que l’appel doit être rejeté sur ce point.</w:t>
      </w:r>
    </w:p>
    <w:p>
      <w:r>
        <w:rPr>
          <w:b/>
        </w:rPr>
        <w:t>E. 8</w:t>
      </w:r>
    </w:p>
    <w:p>
      <w:r>
        <w:t>A titre subsidiaire, l’appelant requiert que la peine privative de liberté soit suspendue au profit d’un traitement ambulatoire. Il fait entre autres valoir que les premiers juges se sont écartés sans motifs valables de l’expertise psychiatrique.</w:t>
      </w:r>
    </w:p>
    <w:p>
      <w:r>
        <w:rPr>
          <w:b/>
        </w:rPr>
        <w:t>E. 8.1.1</w:t>
      </w:r>
    </w:p>
    <w:p>
      <w:r>
        <w:t>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(TF 6B_339/2014 du 27 novembre 2014 consid. 4 pas publié à l’ATF 140 IV 45, et la jurisprudence citée).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p. 162 ss ; en application du nouveau droit v. arrêts 6B_95/2014 du 16 octobre 2014 consid. 3 ; 6B_335/2012 du 13 août 2012 consid. 2.1).</w:t>
      </w:r>
    </w:p>
    <w:p>
      <w:r>
        <w:rPr>
          <w:b/>
        </w:rPr>
        <w:t>E. 8.1.2</w:t>
      </w:r>
    </w:p>
    <w:p>
      <w:r>
        <w:t>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 4.2.3; ATF 129 I 49 c. 4; ATF 128 I 81 c. 2; ATF 118 Ia 144 c. 1c ; ATF 107 IV 7 c. 5 p. 8 et les arrêts cités).</w:t>
      </w:r>
    </w:p>
    <w:p>
      <w:r>
        <w:rPr>
          <w:b/>
        </w:rPr>
        <w:t>E. 8.2</w:t>
      </w:r>
    </w:p>
    <w:p>
      <w:r>
        <w:t>Dans leurs rapports, les Dr [...] et [...] ont indiqué que le risque de récidive important dans le cadre d’une nouvelle relation affective pouvait être fortement atténué dans le cadre d’un traitement psychothérapeutique ambulatoire centré sur le trouble thymique du prévenu et associé à une médication psychotrope adéquate. Ils ont estimé qu’il n’était pas nécessaire d’ordonner un traitement institutionnel, car la reprise d’une vie professionnelle et sociale était utile à l’expertisé. En revanche, il était indispensable d’ordonner un traitement ambulatoire, l’expertisé ayant besoin d’un cadre thérapeutique structurant imposé par la justice. Ce traitement devait être assumé par un médecin psychiatre ou un service ambulatoire psychiatrique, sur le long terme, centré sur le trouble bipolaire du prévenu, qui avait besoin d’une médication psychotrope thymorégulatrice et d’un suivi psychothérapeutique sur le long terme. Enfin à la question de savoir si l’exécution d’une peine privative de liberté entraverait le traitement ambulatoire dans son application ou amoindrirait notablement ses chances de succès, les experts ont répondu par l’affirmative. Ils ont indiqué que le traitement ambulatoire serait à leur sens « entravé dans son application et ses chances de succès, si l’exécution de la peine privative de liberté était prolongée ». Entendu par les premiers juges, le Dr [...] a déclaré ce qui suit : « Vous me dites que le rapport en page 16, n’explique pas pourquoi le traitement ambulatoire ne serait compatible avec une incarcération. J’avoue que je ne me rappelle plus très bien pour quelle raison on avait répondu à cette question de cette manière. Pour l’administration de Seroquel la prison est adaptée. Le cadre carcéral pose une limite, limite qui est bénéfique à un psychotique. Je pense que ce traitement pourrait être suivi en détention. Après il faudrait qu’il soit poursuivi. [...] Vous me faites remarquer que j’avais dit que le prévenu était bien inséré professionnellement et socialement ce qui entraverait les chances de succès d’un traitement s’il venait à être incarcéré à long terme sans que cela soit particulier au cas du prévenu. Si le prévenu venait à faire plusieurs années de prison, sur le plan du traitement psychothérapeutique, je pense pas que les psychiatres en prison puissent offrir le même traitement qu’un psychiatre ambulatoire quant à la fréquence, à la régularité et au type de traitement. La prison n’aiderait pas à régler les symptômes du prévenu. Le cadre contenant est structurant. Je ne pense pas que sur le plan psychiatrique, la prison modifie le trouble dont souffre le prévenu. » (jugement pp. 15-16). Les premiers juges ont considéré que l’expert avait confirmé aux débats que le traitement ambulatoire était possible en détention, même si la fréquence était moindre qu’en liberté, de sorte qu’aucun motif thérapeutique n’imposait de suspendre la peine au profit du traitement ambulatoire. La réponse de l’expert est toutefois plus nuancée. Il va de soi qu’un traitement ambulatoire sous forme de suivi psychothérapeutique est possible en détention, même si un tel suivi, compte tenu des moyens à disposition en détention, peut être moins fréquent. L’expert a aussi précisé que la prison ne modifierait pas le trouble psychiatrique dont souffrait l’appelant et que la reprise d’une vie professionnelle et sociale lui semblait utile. Ainsi, le traitement ambulatoire associé à une réinsertion sociale améliorerait les chances de succès de la thérapie. Le prévenu bénéficie manifestement des réseaux tant professionnels que sociaux de son père, qui lui a loué un appartement et permis d’entrevoir des possibilités de travail. Le Dr [...] indique qu’un réseau a eu lieu le 4 septembre 2015 en présence de la conseillère sociale et de la responsable des ressources humaines de l’entreprise ainsi que du prévenu, afin de « définir les conditions cadres propices à une reprise professionnelle dans le contexte judicaire sensible ». Toutefois, contrairement à ce qui était prévu, cette entreprise n’a pas pu engager le prévenu en raison de restrictions budgétaires. L’appelant est donc actuellement sans emploi. Il continue de suivre la formation par correspondance qu’il avait entamée en détention et au terme de laquelle il pourrait être engagé dans huit mois. Le traitement psychothérapeutique que suit l’appelant auprès du Dr  [...] comporte des entretiens bimensuels. Il est également suivi par un médecin généraliste qui assure le suivi somatique et les bilans biologiques. Sur le vu de ce qui précède, il n’y a aucun motif thérapeutique qui justifie une exception au principe de l’exécution de la peine. On ne voit pas en quoi les chances de succès du traitement ambulatoire seraient considérablement entravées. En l’état, la structure que l’appelant a mise sur pied, avec l’aide de sa famille, et dont il a pu bénéficier ces derniers mois pourra être réactivée lors de sa sortie de prison. Par ailleurs, les actes qu’il a commis sont d’une gravité extrême et sa faute, même diminuée par sa responsabilité restreinte, demeure lourde. Des motifs d’égalité de traitement doivent ainsi également entrer en considération et on ne saurait retenir dans le cas d’espèce que la détention est inutile au point qu’il n’y ait plus d’intérêt à ce que la peine soit purgée. Partant, les conditions de l’art. 63 al. 2 CP n’étant pas réunies, il n’y a pas lieu de suspendre la peine. L’appel doit être rejeté sur ce point également.</w:t>
      </w:r>
    </w:p>
    <w:p>
      <w:r>
        <w:rPr>
          <w:b/>
        </w:rPr>
        <w:t>E. 9</w:t>
      </w:r>
    </w:p>
    <w:p>
      <w:r>
        <w:t>Demeure la question de la prolongation des mesures de substitution prononcées le 27 mai 2015 par la Chambre des recours pénale.</w:t>
      </w:r>
    </w:p>
    <w:p>
      <w:r>
        <w:rPr>
          <w:b/>
        </w:rPr>
        <w:t>E. 9.1.1</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al. 2 CPP (cf. Moreillon/Parein-Reymond, Petit commentaire, Code de procédure pénale, Bâle 2013, n. 12 ad art. 237 CPP) sont un succédané à la détention provisoire, poursuivant le même objectif tout en étant moins sévères ; le tribunal doit les prononcer à la place de la détention provisoire ou pour des motifs de sûreté si elles permettent d'empêcher la concrétisation du risque (Schmocker, in : Kuhn/Jeanneret [éd.], Commentaire romand, Code de procédure pénale suisse, Bâle 2011, n. 2 ad art. 237 CPP). Font notamment partie des mesures de substitution au sens de cette disposition :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Les dispositions sur la détention provisoire et la détention pour des motifs de sûretés s’appliquent par analogie au prononcé des mesures de substitution ainsi qu’au recours contre elles (art. 237 al. 4 CPP).</w:t>
      </w:r>
    </w:p>
    <w:p>
      <w:r>
        <w:rPr>
          <w:b/>
        </w:rPr>
        <w:t>E. 9.1.2</w:t>
      </w:r>
    </w:p>
    <w:p>
      <w:r>
        <w:t>La direction de la procédure est compétente pour statuer sur la détention pour des motifs de sûretés pendant la procédure d’appel (art. 232 CPP applicable par analogie ; Moreillon/Parein-Reymond, op. cit., n. 7 ad art. 237 CPP et les références citées). Dans le cadre du jugement sur appel, rien ne s'oppose à ce que ce soit la juridiction d'appel in corpore qui statue sur ce point (ATF 138 IV 81 consid 2.1).</w:t>
      </w:r>
    </w:p>
    <w:p>
      <w:r>
        <w:rPr>
          <w:b/>
        </w:rPr>
        <w:t>E. 9.2</w:t>
      </w:r>
    </w:p>
    <w:p>
      <w:r>
        <w:t>En l’espèce, la Chambre des recours pénale a considéré qu’il n’était pas justifié d’ordonner la détention pour des motifs de sûreté d’E.________ et que des mesures de substitution étaient à même de prévenir le risque de récidive. On relèvera qu’au moment où cet arrêt a été rendu, l’appelant n’avait pas noué de nouvelle relation. Les premiers juges ne se sont pas prononcés sur le sort de ces mesures. Interpellé par la Présidente de la cour de céans après le dépôt de sa déclaration d’appel, l’appelant a indiqué qu’il était parti de l’idée qu’il était toujours astreint à ces mesures en précisant qu’il avait tout entrepris pour qu’elles se poursuivent. Il a également déclaré ne pas s’opposer aux mesures de substitution que la Présidente entendait à nouveau ordonner, ce qu’elle a fait par prononcé du 11 août 2015. Il s’est par ailleurs soumis pendant la procédure d’appel à ces mesures. Compte tenu des circonstances retenues précédemment, en particulier du pronostic défavorable retenu sous chiffre 6.2 supra s’agissant du risque de récidive, il convient de maintenir ces mesures qui comportent l’obligation de se rendre aux rendez-vous fixés par le SMPP, l’interdiction de toute consommation de cannabis et d’autres drogues, l’obligation de se soumettre à un suivi de la FVP et l’interdiction de contacter de quelque manière que ce soit la plaignante ou l’un des membres de la famille de cette dernière. Les conditions ayant prévalu à leur prononcé le 27 mai 2015 demeurent réunies, les derniers éléments, soit le rapport de situation de la FVP du 18 janvier 2016 et le courrier du Dr [...] du 21 janvier suivant ne suffisent pas à les révoquer.</w:t>
      </w:r>
    </w:p>
    <w:p>
      <w:r>
        <w:rPr>
          <w:b/>
        </w:rPr>
        <w:t>E. 10</w:t>
      </w:r>
    </w:p>
    <w:p>
      <w:r>
        <w:t>En définitive, l'appel d’E.________ et l’appel joint du Ministère public doivent être rejetés.</w:t>
      </w:r>
    </w:p>
    <w:p>
      <w:r>
        <w:rPr>
          <w:b/>
        </w:rPr>
        <w:t>E. 11</w:t>
      </w:r>
    </w:p>
    <w:p>
      <w:r>
        <w:t>Au vu de l’examen du dossier et des opérations nécessaires à la défense des intérêts de leurs clients respectifs, les temps annoncés par Me Antonella Cereghetti Zwahlen et Me Coralie Devaud apparaissent un peu excessifs. En conséquence, une indemnité de 3'169 fr. 80 (correspondant à une activité de 8 heures au tarif avocat et de 12,5 heures au tarif avocat-stagiaire) sera allouée à Me Antonella Cereghetti Zwahlen et de 1'526 fr. 05 à Me Coralie Devaud (correspondant à une activité de 7 heures), ces montants comprenant une vacation, les débours réclamés, ainsi que la TVA. Vu l'issue de la cause, les frais de la procédure d'appel, par 8'695 fr. 85, constitués en l’espèce de l'émolument d’arrêt, par 4'000 fr. (art. 21 al. 1 et 2 TFIP [Tarif des frais de procédure et indemnités en matière pénale du 28 septembre 2010 ; RSV 312.03.1]) et des indemnités allouées aux conseil et au défenseur d’office seront mis par trois quarts à la charge d’E.________, le solde étant laissé à la charge de l’Etat. E.________ ne sera tenu de rembourser à l’Etat les trois quarts des indemnités allouées à Me Antonella Cereghetti Zwahlen et Me Coralie Devaud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