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406 vom 11. Juni 2013</w:t>
      </w:r>
    </w:p>
    <w:p>
      <w:r>
        <w:t>VD Tribunal cantonal, 2013-06-11, FR</w:t>
      </w:r>
    </w:p>
    <w:p>
      <w:r>
        <w:rPr>
          <w:b/>
        </w:rPr>
        <w:t xml:space="preserve">Quelle: </w:t>
      </w:r>
      <w:r>
        <w:t>https://mcp.opencaselaw.ch/entscheid/vd_findinfo_Jug___2016___406</w:t>
      </w:r>
    </w:p>
    <w:p>
      <w:r>
        <w:t>FR: VD_FINDINFO Jug / 2016 / 406 du 11 juin 2013</w:t>
      </w:r>
    </w:p>
    <w:p>
      <w:r>
        <w:t>IT: VD_FINDINFO Jug / 2016 / 406 del 11 giugno 2013</w:t>
      </w:r>
    </w:p>
    <w:p>
      <w:pPr>
        <w:pStyle w:val="Heading2"/>
      </w:pPr>
      <w:r>
        <w:t>Regeste</w:t>
      </w:r>
    </w:p>
    <w:p>
      <w:r>
        <w:t>RÉVISION{DÉCISION}, DÉCISION D'IRRECEVABILITÉ | 410 CPP (CH), 412 al. 2 CPP (CH)</w:t>
      </w:r>
    </w:p>
    <w:p>
      <w:pPr>
        <w:pStyle w:val="Heading2"/>
      </w:pPr>
      <w:r>
        <w:t>Erwägungen</w:t>
      </w:r>
    </w:p>
    <w:p>
      <w:r>
        <w:rPr>
          <w:b/>
        </w:rPr>
        <w:t>E. 1.1</w:t>
      </w:r>
    </w:p>
    <w:p>
      <w:r>
        <w:t>L’art. 410 al. 1 let. a CPP ( Code de procédure pénale suisse du 5 octobre 2007 ; RS 312.0 )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Niggli/Heer/Wiprächtiger [éd.],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w:t>
      </w:r>
    </w:p>
    <w:p>
      <w:r>
        <w:t>En l’espèce, G.W.________ a produit, à l’appui de sa demande de révision, une lettre signée par O.W.________ et rédigée par l’avocat du requérant sur la base des déclarations formulées par la prénommée, alors qu’elle accompagnait son ex-époux à l’étude de son défenseur. Selon le document produit, O.W.________ admettrait en substance avoir exagéré ou inventé certains faits ayant conduit à la condamnation du requérant. En premier lieu, force est de constater que la lettre précitée, rédigée par l’avocat du requérant alors que ce dernier accompagnait son ex-épouse, n’est pas un moyen de preuve sérieux, dans la mesure où le jugement dont la révision est demandée soulignait expressément que la plaignante était sous l’emprise constante de son ex-époux et qu’il lui inspirait de la peur, étant précisé que ces éléments l’ont longtemps empêchée de dénoncer les violences dont elle était victime. Dans ces circonstances, le document produit est dépourvu de toute valeur probante et n’est pas susceptible d’ébranler les constatations de faits sur lesquelles se fonde la condamnation du requérant. Par ailleurs, les vagues rétractations retranscrites dans la lettre signée par O.W.________ sont dépourvues de crédibilité et ne peuvent en aucun cas conduire à un nouveau procès. En effet, les affirmations prêtées à la prénommée, qui consistent pour l’essentiel à dire qu’il « n’était pas tout-à-fait vrai » que le requérant avait été violent avec elle, ne sauraient remettre en question la condamnation de ce dernier pour de nombreuses infractions. En outre, l’explication de la dépression et de l’influence familiale pour justifier les prétendues « exagérations » de la plaignante ne convainc pas. Le jugement de la Cour de céans du 9 décembre 2013, qui confirme au demeurant le jugement de première instance sur ce point, constate au contraire que les affirmations d’O.W.________ étaient exactes lorsqu’elles avaient pu être vérifiées et que l’intéressée souffrait déjà, à l’époque, d’une importante culpabilité car elle s’exposait, en déposant plainte contre son ex-époux, à la perte de la relation avec ses enfants (jgt de la Cour de céans du 9 décembre 2013, p. 17). Ainsi, les circonstances invoquées par le requérant tendant à la révision des faits dénoncés par la plaignante ne peuvent être considérées comme étant nouvelles.</w:t>
      </w:r>
    </w:p>
    <w:p>
      <w:r>
        <w:rPr>
          <w:b/>
        </w:rPr>
        <w:t>E. 3</w:t>
      </w:r>
    </w:p>
    <w:p>
      <w:r>
        <w:t>Il résulte de ce qui précède que les motifs de révision invoqués sont d’emblée manifestement mal fondés, de sorte que la demande de révision présentée par G.W.________ doit être déclarée irrecevable. Vu l’issue de la cause, les frais de la procédure de révision, par 550 fr. (art. 21 et 22 TFIP [Tarif des frais de procédure et indemnités en matière pénale du 28 septembre 2010 ; RSV 312.03.1]), doivent être mis à la charge de G.W.________.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