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397 vom 9. Februar 2015</w:t>
      </w:r>
    </w:p>
    <w:p>
      <w:r>
        <w:t>VD Tribunal cantonal, 2015-02-09, FR</w:t>
      </w:r>
    </w:p>
    <w:p>
      <w:r>
        <w:rPr>
          <w:b/>
        </w:rPr>
        <w:t xml:space="preserve">Quelle: </w:t>
      </w:r>
      <w:r>
        <w:t>https://mcp.opencaselaw.ch/entscheid/vd_findinfo_Jug___2016___397</w:t>
      </w:r>
    </w:p>
    <w:p>
      <w:r>
        <w:t>FR: VD_FINDINFO Jug / 2016 / 397 du 9 février 2015</w:t>
      </w:r>
    </w:p>
    <w:p>
      <w:r>
        <w:t>IT: VD_FINDINFO Jug / 2016 / 397 del 9 febbraio 2015</w:t>
      </w:r>
    </w:p>
    <w:p>
      <w:pPr>
        <w:pStyle w:val="Heading2"/>
      </w:pPr>
      <w:r>
        <w:t>Regeste</w:t>
      </w:r>
    </w:p>
    <w:p>
      <w:r>
        <w:t>RÉDUCTION{EN GÉNÉRAL}, INDEMNITÉ{EN GÉNÉRAL}, AVOCAT, DÉPENS, HONORAIRES | 107 al. 2 LTF, 406 al. 1 let. d CPP (CH), 433 al. 1 CPP(CH)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2</w:t>
      </w:r>
    </w:p>
    <w:p>
      <w:r>
        <w:t>Dans son arrêt du 30 août 2016, le Tribunal fédéral a considéré que la motivation du jugement d’appel ne permettait pas de comprendre, d’une part, le raisonnement ayant conduit à la réduction massive de l’indemnité de l’art. 433 CPP accordée en première instance et qu’il incombait dès lors à la cour cantonale de reprendre l’examen de l’entier des notes d’honoraires présentées et, d’autre part, pour quelles raisons l’indemnité requise pour la procédure de seconde instance avait été réduite de plus de 40%. Le Tribunal fédéral a pour le surplus déclaré irrecevable, faute de motivation, la conclusion de M.________ tendant à ce que les frais d’appel soient intégralement mis à la charge de H.________.</w:t>
      </w:r>
    </w:p>
    <w:p>
      <w:r>
        <w:rPr>
          <w:b/>
        </w:rPr>
        <w:t>E. 3</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6B_864/2015 du 1 er novembre 2016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3.1.1</w:t>
      </w:r>
    </w:p>
    <w:p>
      <w:r>
        <w:t>En ce qui concerne l’indemnité relative à la procédure de première instance, force est de constater que les notes d’honoraires de Me Cyrille Piguet, qui totalisent 26'598 fr. 40 (P. 71), ne permettent pas de connaître le temps qu’il a effectivement consacré aux différentes opérations, dès lors que celles-ci sont énumérées sans aucune indication temporelle. Il n’est donc pas possible d’appliquer la méthode usuellement préconisée par le Tribunal fédéral pour revoir à la baisse le montant de l’indemnité, soit par l’indication poste par poste de la durée excessive des opérations (TF 6B_124/2012 du 22 juin 2012 consid. 2.2). Par ailleurs, en prenant en considération le calcul effectué par le conseil de la partie plaignante dans son recours au Tribunal fédéral et dans ses déterminations du 3 octobre 2016 à la Cour de céans (P. 86/2 et 91/1), on parvient à un temps de travail total de 63 heures et 40 minutes, ce qui, au tarif horaire de 350 fr., représente une indemnité de 22'200 fr. et non de 29'000 fr. comme allouée en première instance. La décision de réduire le montant de l’indemnité est donc justifiée dans son principe, sur la seule base des affirmations du conseil de la partie plaignante. Il résulte en outre de ce qui précède que les notes d’honoraires présentées à M.________ n’ont pas de réelle valeur probante.</w:t>
      </w:r>
    </w:p>
    <w:p>
      <w:r>
        <w:rPr>
          <w:b/>
        </w:rPr>
        <w:t>E. 3.1.2</w:t>
      </w:r>
    </w:p>
    <w:p>
      <w:r>
        <w:t>Dans ses déterminations du 3 octobre 2016, comme dans le cadre de son recours au Tribunal fédéral, l’avocat de M.________ a détaillé la durée de ses opérations, en six rubriques, qu’il convient d’examiner séparément. a) Le conseil du plaignant soutient avoir consacré 28 heures et 50 minutes de travail aux auditions devant le Ministère public, à l’audience devant le Tribunal correctionnel de l’arrondissement de Lausanne et à la préparation de celles‑ci. Or, la durée effective de ces audiences est en réalité de 8 heures et 50 minutes (P. 91/1, p. 5), le témoin Z.________ ne s’étant pas présenté à son audition les 14 juin 2013 et 11 février 2014. La durée de préparation de ces audiences, incluant les déplacements, qui représente 20 heures, apparaît dès lors manifestement excessive puisqu’elle correspond à plus du double de la durée concrète des opérations judiciaires. On relèvera en particulier que le temps consacré à la préparation des auditions durant l’enquête, d’une durée totale de 7 heures, est assurément exagéré pour une audition du plaignant, une audition de confrontation avec le prévenu et l’audition d’un témoin. Il y a par conséquent lieu d’admettre 8 heures et 10 minutes de préparation pour toutes les auditions et l’audience, auxquels s’ajoutent 8 heures et 50 minutes pour la durée de celles-ci en tant que telles, soit un total de 17 heures de travail. b) L’avocat déclare ensuite avoir consacré 12 heures et 30 minutes aux contacts avec son client, soit pour les rendez-vous, les téléphones et les courriers destinés à la renseigner (P. 91/1, p. 6). Toutefois, dès lors qu’il s’agit d’une cause correctionnelle qui ne présente pas de difficulté particulière, ni en fait, ni en droit, il y a lieu de compter 4 heures pour les entretiens avec le client en relation directe avec la procédure pénale, à l’exclusion de ceux liés aux questions d’assurance. c) Me Cyrille Piguet affirme également avoir dédié 9 heures et 50 minutes de travail aux échanges avec le Ministère public et l’Hôpital ophtalmique (P. 91/1, p. 7). Compte tenu de l’évolution de l’état de santé de M.________ et de la nécessité de documenter la gravité des lésions qu’il a subies, il faut admettre que son conseil a dû prendre contact à plusieurs reprises avec le corps médical, pour renseigner ensuite le Ministère public. Il n’était toutefois manifestement pas nécessaire de s’adresser à neuf reprises à l’hôpital et au Ministère public en l’espace d’un peu plus d’une année. On admettra donc 4 heures de travail pour ce poste. d) Le conseil du plaignant indique encore avoir consacré 2 heures et 20 minutes aux contacts avec l’assurance [...] (P. 91/2, p. 9). Toutefois, dans la mesure où l’art. 433 al. 1 let. a CPP est uniquement destiné à indemniser les dépenses obligatoires occasionnées par la procédure pénale, rien ne justifie de prendre en considération ces opérations. e) L’avocat du plaignant précise en outre avoir consacré 5 heures de travail pour les contacts avec le défenseur de H.________, Me François Roux (P. 91/1, p. 9). Si une heure est parfaitement justifiée par l’établissement de trois actes de renonciation à se prévaloir de la prescription signés par le prévenu, il n’y a assurément pas lieu d’admettre plus de 2 heures pour d’éventuelles discussions entre conseils, M.________ n’alléguant pas la recherche d’une solution transactionnelle concernant les prétentions civiles. Ce poste représente donc 3 heures en tout et pour tout. f) Enfin, Me Cyrille Piguet prétend à la prise en considération d’opérations diverses telles que des vacations, prises de connaissance de documents et consultation du dossier à hauteur de 5 heures et 10 minutes (P. 91/1, p. 10). Or, ces opérations sont en réalité déjà comprises dans les autres postes et ne peuvent donc donner lieu à une indemnisation supplémentaire.</w:t>
      </w:r>
    </w:p>
    <w:p>
      <w:r>
        <w:rPr>
          <w:b/>
        </w:rPr>
        <w:t>E. 3.1.3</w:t>
      </w:r>
    </w:p>
    <w:p>
      <w:r>
        <w:t>En définitive, le temps nécessaire à l’exercice raisonnable des droits de procédure de M.________ dans le cadre de la procédure de première instance s’élève à 28 heures. Facturées au tarif horaire de 350 fr., c’est donc une indemnité d’un montant total de 10'584 fr. (28h x 350 fr. + 8% TVA) qui doit lui être allouée, en application de l’art. 433 CPP.</w:t>
      </w:r>
    </w:p>
    <w:p>
      <w:r>
        <w:rPr>
          <w:b/>
        </w:rPr>
        <w:t>E. 3.2</w:t>
      </w:r>
    </w:p>
    <w:p>
      <w:r>
        <w:t>S'agissant de l’indemnité relative à la procédure d’appel antérieure à l’arrêt du Tribunal fédéral du 30 août 2016, les différentes opérations figurant dans le décompte du 11 juin 2015 produit par la partie plaignante (P. 83) portent sur l’examen de l’appel et du jugement attaqué, la préparation et la participation à l’audience d’appel, ainsi que les contacts avec le client et l’établissement de quelques courriers. A nouveau, la durée effective des opérations n’est pas indiquée. Il y a par conséquent lieu d’admettre, compte tenu de la connaissance du dossier acquise en première instance, 2 heures et 10 minutes pour l’examen de l’appel et du jugement, 5 heures et 50 minutes pour la préparation de la plaidoirie et la participation à l’audience d’appel, dès lors que celle-ci a duré 50 minutes, une heure pour les entretiens avec le client et une heure pour l’établissement des courriers, soit au total 10 heures. Comme la partie plaignante a partiellement succombé, à raison d’un quart, le total doit être réduit à 7 heures et 30 minutes. C’est donc une indemnité d’un montant total de 2'835 fr. (7h30 x 350 fr. + 8% de TVA), valeur échue, dès lors que le présent jugement est immédiatement exécutoire, qui doit être allouée à M.________.</w:t>
      </w:r>
    </w:p>
    <w:p>
      <w:r>
        <w:rPr>
          <w:b/>
        </w:rPr>
        <w:t>E. 4</w:t>
      </w:r>
    </w:p>
    <w:p>
      <w:r>
        <w:t>En définitive, l’appel de H.________ doit être partiellement admis. Les frais d’appel antérieurs à l’arrêt du Tribunal fédéral du 30 août 2016 restent inchangés. Les frais d’appel postérieurs à l’arrêt du Tribunal fédéral du 30 août 2016, constitués en l’espèce du seul émolument de jugement, par 990 fr. (art. 21 al. 1 TFIP), doivent être mis à la charge de M.________, dès lors que celui-ci n’obtient aucune indemnité supplémentaire que celle allouée dans le cadre du premier jugement d’appel, le montant total des indemnités allouées étant, à quelque 200 fr. près, identique. Aucune indemnité supplémentaire ne sera allouée à M.________ pour ses dépenses, dès lors qu’il succombe dans la présente procédure. H.________ n’aura pas droit à une indemnité au titre de l’art. 429 CPP, n’ayant pris aucune conclusion chiffrée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