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39 vom 24. September 2015</w:t>
      </w:r>
    </w:p>
    <w:p>
      <w:r>
        <w:t>VD Tribunal cantonal, 2015-09-24, FR</w:t>
      </w:r>
    </w:p>
    <w:p>
      <w:r>
        <w:rPr>
          <w:b/>
        </w:rPr>
        <w:t xml:space="preserve">Quelle: </w:t>
      </w:r>
      <w:r>
        <w:t>https://mcp.opencaselaw.ch/entscheid/vd_findinfo_Jug___2016___39</w:t>
      </w:r>
    </w:p>
    <w:p>
      <w:r>
        <w:t>FR: VD_FINDINFO Jug / 2016 / 39 du 24 septembre 2015</w:t>
      </w:r>
    </w:p>
    <w:p>
      <w:r>
        <w:t>IT: VD_FINDINFO Jug / 2016 / 39 del 24 settembre 2015</w:t>
      </w:r>
    </w:p>
    <w:p>
      <w:pPr>
        <w:pStyle w:val="Heading2"/>
      </w:pPr>
      <w:r>
        <w:t>Regeste</w:t>
      </w:r>
    </w:p>
    <w:p>
      <w:r>
        <w:t>EXPERTISE, EXPERTISE PSYCHIATRIQUE, FIXATION DE LA PEINE, RESPONSABILITÉ{DROIT PÉNAL}, ATTÉNUATION DE LA PEINE | 19 al. 2 CP, 47 CP, 48 let. e CP</w:t>
      </w:r>
    </w:p>
    <w:p>
      <w:pPr>
        <w:pStyle w:val="Heading2"/>
      </w:pPr>
      <w:r>
        <w:t>Erwägungen</w:t>
      </w:r>
    </w:p>
    <w:p>
      <w:r>
        <w:rPr>
          <w:b/>
        </w:rPr>
        <w:t>E. 1</w:t>
      </w:r>
    </w:p>
    <w:p>
      <w:r>
        <w:t>Interjeté dans les forme et délai légaux (art. 399 CPP), par une partie ayant la qualité pour recourir (art. 382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L’appelant conteste la quotité de la peine qui lui a été infligée, qu’il considère comme excessive. Se prévalant de l’expertise psychiatrique réalisée dans le cadre de la procédure civile faisant notamment état d’une difficulté de gestion de ses émotions et d’un trouble de la personnalité paranoïaque, il soutient que les premiers juges n’auraient pas suffisamment tenu compte de son profil psychologique, lequel aurait dû conduire à une diminution de sa responsabilité pénale. Par ailleurs, il leur fait grief de ne pas avoir tenu compte de l’écoulement du temps comme facteur d’atténuation de la peine. Selon lui, à l’aune de ces éléments, le tribunal correctionnel aurait dû prononcer une peine d’une durée compatible avec le sursis partiel.</w:t>
      </w:r>
    </w:p>
    <w:p>
      <w:r>
        <w:rPr>
          <w:b/>
        </w:rPr>
        <w:t>E. 3.1.1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Conformément à l’art. 19 al. 2 CP, le juge atténue la peine si, au moment d'agir, l'auteur ne possédait que partiellement la faculté d'apprécier le caractère illicite de son acte ou de se déterminer d'après cette appréciation.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et les références citées).</w:t>
      </w:r>
    </w:p>
    <w:p>
      <w:r>
        <w:rPr>
          <w:b/>
        </w:rPr>
        <w:t>E. 3.1.2</w:t>
      </w:r>
    </w:p>
    <w:p>
      <w:r>
        <w:t>Comme tous les autres moyens de preuve, les expertises sont soumises à l'appréciation du juge.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(ATF 133 II 384 consid. 4.2.3; ATF 129 I 49 consid. 4; ATF 128 I 81 consid. 2; ATF 118 Ia 144 consid. 1c; ATF 107 IV 7 consid. 5 et les arrêts cités). Si, en revanche, les conclusions d’une expertise judiciaire apparaissent douteuses sur des points essentiels, celui-ci doit recueillir des preuves complémentaires pour tenter de dissiper les doutes. A défaut, en se fondant sur une expertise non concluante, il pourrait commettre une appréciation arbitraire des preuves et violer l’art. 9 Cst (ATF 118 Ia 144 consid.1c).</w:t>
      </w:r>
    </w:p>
    <w:p>
      <w:r>
        <w:rPr>
          <w:b/>
        </w:rPr>
        <w:t>E. 3.2.1</w:t>
      </w:r>
    </w:p>
    <w:p>
      <w:r>
        <w:t>En l’occurrence, bien que les expertises psychiatriques de l’appelant parviennent à des conclusions différentes (cf. supra lettre C chiffres 2.1 et 2.2), il n’y a pas lieu de s’écarter de l’appréciation des premiers experts. Il est tout d’abord rappelé que la mission des experts était différente; l’expertise pénale avait ainsi pour but de déterminer la responsabilité du prévenu et l’éventuel risque de récidive qu’il présentait, alors que l’expertise civile devait évaluer le profil psychiatrique de chaque époux et examiner la qualité des relations parents-enfants pour notamment fixer l’attribution de la garde des enfants et régler les relations personnelles. Il convient également de relever que la première expertise a été réalisée au début de la seconde période de la détention provisoire du prévenu, soit en octobre 2014, alors que la deuxième l’a été à partir du printemps 2015, soit dix mois plus tard. De plus, dans leurs déterminations du 11 décembre 2015, les auteurs de l’expertise pénale ont expliqué de manière cohérente et convaincante pour quels motifs la seconde expertise ne remettait pas en question leurs conclusions (cf. supra lettre C chiffre 2.3). Ils ont ainsi tout d’abord relevé que les éléments nécessaires pour poser le diagnostic de trouble de la personnalité faisaient en partie défaut. Ensuite, et surtout, ils ont considéré que même si l’appelant présentait certains traits de la personnalité paranoïaque au moment de la première expertise, ceux-ci étaient latents à cette époque et n’étaient devenus manifestes que plus tard, soit au moment où l’intéressé avait été confronté à des changements importants dans sa vie (incarcération, procédure de séparation). Ainsi, sur la base de ce qui précède, il faut considérer que le prévenu ne présentait aucun trouble mental au moment des faits, de sorte que sa responsabilité pénale était pleine à ce moment.</w:t>
      </w:r>
    </w:p>
    <w:p>
      <w:r>
        <w:rPr>
          <w:b/>
        </w:rPr>
        <w:t>E. 3.2.2</w:t>
      </w:r>
    </w:p>
    <w:p>
      <w:r>
        <w:t>S’agissant de la fixation de la peine, la cour de céans ne peut que faire siens les critères retenus par les premiers juges, qui sont pertinents. Il sera ainsi tenu compte, à charge, du fait que le prévenu s’est comporté en tyran domestique pendant de longues années, du fait qu’il s’en est pris à des personnes vulnérables notamment à des enfants, de ses antécédents démontrant qu’il fait recours à la violence face aux situations difficiles, du déni total dans lequel il s’est enfermé rendant impossible toute prise de conscience et de sa persistance à inverser les rôles auteur/victime. Par ailleurs, il faut également retenir le concours d’infractions, la récidive commise en cours d’enquête ainsi que la récidive spéciale. Comme élément à décharge, il n’y a que le passé difficile du prévenu, qui n’a toutefois eu aucun impact sur sa responsabilité pénale. Contrairement à ce que soutient l’appelant, on ne discerne aucune contradiction dans le fait de retenir, d’une part, que son passé ne lui avait pas permis d’acquérir les armes nécessaires pour gérer les situations difficiles ainsi que la frustration autrement que par la violence et, d’autre part, qu’il avait tendance à recourir à la violence face à des situations stressantes. En effet, le recours systématique à ce type de moyens est un élément à charge, alors que son passé difficile un élément à décharge. Enfin, l’appelant ne peut rien tirer de l’écoulement du temps comme facteur d’atténuation de la peine. Contrairement à ce qu’il affirme, les faits ne se sont pas produits pour l’essentiel entre 2008 et 2010, des coups ayant été assénés jusqu’en 2014. En particulier, le 29 mai 2013, il a lancé sa fille L.________ contre le lit, lui cassant ainsi la hanche, avant de la frapper à nouveau en mars ou avril 2014; les coups portés sur G.________ et F.________ n’ont également cessé que bien plus tard, soit en avril 2014. La durée des sévices infligés ne peut donc conduire à une réduction de peine pour les faits plus anciens, compte tenu de leur répétition. Au vu de l’ensemble de ces éléments, la peine privative de liberté de quatre ans prononcée par les premiers juges est adéquate et doit être confirmée. Elle est certes d’une durée certaine et de nature à rendre difficile les relations entre le prévenu et ses enfants. Toutefois, ce seul critère n’est pas suffisant pour la réduire, les infractions ayant été commises au détriment de toute la famille. Au surplus, il est relevé que le droit de visite doit de toute manière s’exercer dans le cadre de mesures de surveillance et d’accompagnement thérapeutique, comme le préconise l’expertise civile.</w:t>
      </w:r>
    </w:p>
    <w:p>
      <w:r>
        <w:rPr>
          <w:b/>
        </w:rPr>
        <w:t>E. 3.2.3</w:t>
      </w:r>
    </w:p>
    <w:p>
      <w:r>
        <w:t>Au vu de la quotité de la peine prononcée, il n’y a pas lieu d’examiner la question du sursis partiel.</w:t>
      </w:r>
    </w:p>
    <w:p>
      <w:r>
        <w:rPr>
          <w:b/>
        </w:rPr>
        <w:t>E. 4</w:t>
      </w:r>
    </w:p>
    <w:p>
      <w:r>
        <w:t>En définitive, l’appel doit être rejeté et le jugement entrepris intégralement confirmé.</w:t>
      </w:r>
    </w:p>
    <w:p>
      <w:r>
        <w:rPr>
          <w:b/>
        </w:rPr>
        <w:t>E. 5.1</w:t>
      </w:r>
    </w:p>
    <w:p>
      <w:r>
        <w:t>Vu l’issue de la cause, les frais de la procédure d’appel, constitués de l’émolument d’arrêt, par 2'050 fr., de l’indemnité allouée au défenseur d'office, par 3’531 fr. 60 , TVA et débours inclus, et de celle due au conseil d’office, par 421 fr. 20 , TVA et débours inclus, doivent être mis à la charge de l’appelant, qui succombent (art. 428 al. 1 CPP). Ce dernier n e sera tenu de rembourser à l’Etat le montant des indemnités précitées que lorsque sa situation financière le permettra (art. 135 al. 4 CPP) .</w:t>
      </w:r>
    </w:p>
    <w:p>
      <w:r>
        <w:rPr>
          <w:b/>
        </w:rPr>
        <w:t>E. 5.2</w:t>
      </w:r>
    </w:p>
    <w:p>
      <w:r>
        <w:t>Me Tabet, défenseur d’office du prévenu, a produit une liste d’opérations indiquant une activité de 20.91 minutes et des débours par 629 fr. 10, dont 4 vacations (cf. P. 142). Compte tenu du fait que seule la question de la peine était litigieuse, de la connaissance du dossier obtenu en première instance et des opérations nécessaires à la défense des intérêts de son client, le nombre d’heures annoncé est trop important et doit être réduit. Par ailleurs, il ne sera pas tenu compte d’une des vacations du 23 octobre 2015 comptabilisée à double. En définitive, il se justifie de retenir une activité de 16 heures au tarif horaire de 180 fr., plus la TVA, plus 50 fr. de débours et 3 vacations à 120 fr., ce qui représente une indemnité totale de 3’531 fr. 60. S’agissant de Me Boschetti, conseil d’office de la partie plaignante, il a produit une liste d’opérations faisant état de 2 heures et 42 minutes d’activité (cf. P. 141/1). Toutefois, le temps annoncé paraît quelque peu élevé, l’intervention de cet avocat dans le cadre de la présente procédure étant limitée au vu de l’objet de l’appel (raison pour laquelle lui et sa cliente ont d’ailleurs été dispensés de comparution). Tout bien considéré, il sera tenu compte d’une activité de 2 heures au tarif horaire de 180 fr., plus la TVA et 30 fr. de débours, ce qui représente un montant total de 421 fr.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