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384 vom 27. Januar 2016</w:t>
      </w:r>
    </w:p>
    <w:p>
      <w:r>
        <w:t>VD Tribunal cantonal, 2016-01-27, FR</w:t>
      </w:r>
    </w:p>
    <w:p>
      <w:r>
        <w:rPr>
          <w:b/>
        </w:rPr>
        <w:t xml:space="preserve">Quelle: </w:t>
      </w:r>
      <w:r>
        <w:t>https://mcp.opencaselaw.ch/entscheid/vd_findinfo_Jug___2016___384</w:t>
      </w:r>
    </w:p>
    <w:p>
      <w:r>
        <w:t>FR: VD_FINDINFO Jug / 2016 / 384 du 27 janvier 2016</w:t>
      </w:r>
    </w:p>
    <w:p>
      <w:r>
        <w:t>IT: VD_FINDINFO Jug / 2016 / 384 del 27 gennaio 2016</w:t>
      </w:r>
    </w:p>
    <w:p>
      <w:pPr>
        <w:pStyle w:val="Heading2"/>
      </w:pPr>
      <w:r>
        <w:t>Regeste</w:t>
      </w:r>
    </w:p>
    <w:p>
      <w:r>
        <w:t>LÉSION CORPORELLE GRAVE, NÉGLIGENCE, REJET DE LA DEMANDE, DÉPENS, APPRÉCIATION DES PREUVES | 106 CP, 12 al. 3 CP, 125 CP, 34 CP, 42 al. 1 CP, 42 al. 4 CP, 31 al. 1 LCR, 34 al. 1 LCR, 34 al. 3 LCR, 10 CPP (CH), 433 al. 1 CPP(CH)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A.Q.________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L’appelante conteste la réalisation de l’infraction de lésions corporelles graves par négligence, soutenant qu’elle n’a commis aucune négligence et que le lien de causalité adéquate a été rompu par la faute de la plaignante. Elle fait valoir que le premier juge n’aurait pas dû faire ab­straction du « stop », lequel obligeait la plaignante à s’arrêter et la rendait débitrice de la priorité envers tous les autres usa­gers de la route et pour toute la durée du passage de l’intersection, qu’elle s’est arrêtée avant de démarrer, que la plaignante a touché l’avant droit de son véhicule et que la collision a eu lieu au milieu de l’intersection, alors que son véhicule était déjà bien engagé et que la plaignante était toujours débitrice de la priorité.</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3.2.1</w:t>
      </w:r>
    </w:p>
    <w:p>
      <w:r>
        <w:t>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 ATF 134 IV 255 consid. 4.2.3 ;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w:t>
      </w:r>
    </w:p>
    <w:p>
      <w:r>
        <w:rPr>
          <w:b/>
        </w:rPr>
        <w:t>E. 3.2.2</w:t>
      </w:r>
    </w:p>
    <w:p>
      <w:r>
        <w:t>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consid. 5.2 et l'au­teur cité).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La causalité adéquate peut cependant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et les arrêts cités ; ATF 122 IV 17 consid. 2c/bb).</w:t>
      </w:r>
    </w:p>
    <w:p>
      <w:r>
        <w:rPr>
          <w:b/>
        </w:rPr>
        <w:t>E. 3.2.3</w:t>
      </w:r>
    </w:p>
    <w:p>
      <w:r>
        <w:t>Selon les art. 31 LCR (Loi fédérale sur la circulation routière du 19 décembre 1958 ; RS 741.01) et 3 al. 1 OCR (Ordonnance sur les règles de la circulation routière du 13 novembre 1962 ; RS 741.11), le conducteur devra rester constamment maître de son véhicule de façon à pouvoir se conformer aux devoirs de la prudence et vouera son attention à la route et à la circulation. L’attention requise du conducteur implique notamment qu’il soit en mesure de parer rapidement aux dangers qui menacent la vie, l’intégrité corporelle ou les biens matériels d’autrui (TF 6B_873/2014 du 5 janvier 2015 consid. 2.1 et arrêt cité).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quelques-unes (ATF 127 II 302 consid. 3c ; ATF 103 IV 101 consid. 2b).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13 al. 4 OCR prévoit que, en obliquant à gauche à une intersection, le conducteur ne prendra pas le virage à la corde. Lorsqu'à une croisée, des véhicules venant de sens opposés obliquent à leur gauche, ils se croiseront à gauche.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 ATF 104 IV 28 consid. 3 p. 30 ; ATF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consid. 2.2.1 p. 285 et les arrêts cités).</w:t>
      </w:r>
    </w:p>
    <w:p>
      <w:r>
        <w:rPr>
          <w:b/>
        </w:rPr>
        <w:t>E. 3.3.1</w:t>
      </w:r>
    </w:p>
    <w:p>
      <w:r>
        <w:t>En l’espèce, il est constant que le véhicule de la prévenue a heurté la victime et que ce choc a eu des conséquences dramatiques pour cette dernière. Le fait que B.________ a subi des lésions corporelles graves à la suite de l’accident litigieux n’est d’ailleurs pas remis en cause par l’appelante. L’endroit où a eu lieu l’accident est connu de la prévenue et de la plaignan­te qui l’ont qualifié de dangereux (PV aud. 1, PV aud 5). B.________, qui empruntait ce chemin tous les jours avec son vélo pour se rendre à la gare, a expliqué qu’elle respectait le « stop », ce qui signifiait pour elle qu’elle posait les pieds à terre et s’avançait ensuite jusqu’à l’extrême limite de la ligne du « stop » pour avoir une bonne visibilité et s’assurer qu’elle pouvait traverser la route du [...] sans risque (PV aud. 5). La plaignante a expliqué au Procureur que le jour de l’accident, elle se souvenait avoir marqué le « stop », comme à son habitude, savoir qu’elle avait posé les pieds par terre pour réajuster le col de sa veste et son sac avant la bande du « stop », soit la ligne intérieure du « stop » et qu’elle s’était ensuite avancée jusqu’à la ligne exté­rieure du « stop ». Pour ce qui est de la suite, elle ne se souvient plus de rien (PV aud.</w:t>
      </w:r>
    </w:p>
    <w:p>
      <w:r>
        <w:rPr>
          <w:b/>
        </w:rPr>
        <w:t>E. 3.3.2</w:t>
      </w:r>
    </w:p>
    <w:p>
      <w:r>
        <w:t>Il résulte des faits retenus ci-dessus que l’appelante a manqué d’atten­tion et a violé une règle de prudence en regardant uniquement sur sa droite avant d’obliquer à gauche, en faisant totalement abstraction, lors de sa manœuvre, de ce qu’il y avait en face d’elle et en ne portant ainsi pas toute l’attention que les usagers prioritaires de la route du [...] étaient en droit d’attendre de sa part. Elle a donc commis une négligence en ne balayant pas du regard l’entier de l’intersection dans laquelle elle se trouvait avant d’obliquer à gauche. De plus, au moment des faits, l’éclairage public était en service (P. 22/3 photos nos 3, 4 et 5 ; P. 33) et la plai­gnante était par­faite­ment visible. Ainsi, en prenant le virage à gauche « à la corde », en empié­tant sur la voie opposée réservée aux usagers venant en sens inverse et en coupant la route à la plaignante qui se trouvait déjà engagée sur la route du [...], l’appelante a enfreint les art. 31 al. 1, 34 al. 1 et 3 LCR et 13 al. 4 OCR. La violation fautive d’un devoir de prudence par A.Q.________ se trou­ve en rapport de causalité naturelle et adé­qua­te avec les lésions subies par la plai­gnante, dès lors que le comportement de l’appelante était incontestablement sus­ceptible de causer un accident du genre de celui qui s’est produit. Au surplus, dans la mesure où l’appelante a violé des règles de prudence élémentaires, elle ne saurait se prévaloir du principe de la confiance, ce d’autant que la plaignante, qui était déjà engagée sur la route du [...] lorsque A.Q.________ a entrepris son virage à gau­che, n’a commis aucune faute apte à entraîner la rupture du lien de causalité adé­quate. Dans ces circonstances, A.Q.________ doit être reconnue coupable de lésions corporelles graves par négligence. Les griefs de l’appelante, mal fondés, doivent être rejetés. 4. L’appelante conclut à son acquittement, mais elle ne conteste pas la peine en tant que telle. Les infractions retenues par la première juge étant confirmées, la quotité de la peine infligée à la prévenue doit être examinée d’office par la cour de céans.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4.1.2 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4.1.3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4.1.4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 4.2 La première juge a infligé à la prévenue une peine pécuniaire de 30 jours-amende à 150 fr. le jour, avec sursis pendant 2 ans, ainsi qu’une amende de 900 fr., la peine privative de liberté de substitution étant de 6 jours. En l’espèce, A.Q.________ s’est rendue coupable de lésions corpo­relles graves par négligence. Compte tenu de l’ensemble des circonstances et du fait que l’appelante connaissait l’intersection en cause qu’elle qualifiait de dangereuse, sa culpabilité peut être qualifiée de moyenne, même si le carrefour n’était pas aisé à franchir. L’appelante persiste en outre à nier sa responsabilité. A décharge, il peut lui être donné acte du fait qu’elle s’est enquise de l’état de santé de la plaignante après l’accident. L’absence d’antécédents constitue un facteur neutre, soit une absence d’élément à charge (ATF 136 IV 1). Tout bien considéré, la peine pécuniaire de 30 jours-amende à 150 fr. le jour, con­for­me aux principes légaux à charge et à décharge et à la culpabilité de A.Q.________, réprime adéquatement le comportement fautif de la prévenue. En l’absence d’un pronostic défavorable, la peine sera assortie du sursis pendant 2 ans. Le sursis étant octroyé à la peine principale, l’amende prononcée en première instance constitue une sanction im­mé­diate. Au vu de la faute commise, de la peine pécuniaire infligée et de sa situation personnelle, une amende de 900 fr., avec une peine privative de liberté de substitution de 6 jours, se justifie pour sanctionner le comportement fautif de l’appelante. La peine prononcée par la première juge est donc adéquate et doit être confirmée.</w:t>
      </w:r>
    </w:p>
    <w:p>
      <w:r>
        <w:rPr>
          <w:b/>
        </w:rPr>
        <w:t>E. 5</w:t>
      </w:r>
    </w:p>
    <w:p>
      <w:r>
        <w:t>La condamnation de la prévenue, assistée d’un défenseur de choix, étant confirmée, il n’y a pas matière à indemnisation, les conditions d’octroi d’une indemnité au sens de l’art. 429 CPP n’étant pas réalisées. Cette conclusion doit ainsi être rejetée.</w:t>
      </w:r>
    </w:p>
    <w:p>
      <w:r>
        <w:rPr>
          <w:b/>
        </w:rPr>
        <w:t>E. 6</w:t>
      </w:r>
    </w:p>
    <w:p>
      <w:r>
        <w:t>En définitive, l’appel interjeté par A.Q.________ doit être rejeté et le jugement entrepris confirmé. Vu l’issue de la cause, les frais de la procédure d’appel, constitués de l’émolument du présent jugement, par 2'460 fr. (art. 21 al. 1 TFIP [Tarif des frais de procédure et indemnités en matière pénale du 28 septem­bre 2010 ; RSV 312.03.1]) doivent être mis à la charge de A.Q.________. B.________, intimée dans la procédure d’appel, a conclu à l’octroi d’une indemnité pour les dépenses obligatoires occasionnées par la procédure d’appel (art. 433 CPP). Les conditions d’octroi d’une telle indemnité étant réalisées, il y a lieu, sur le principe, de faire droit à cette conclusion. Me Henri Bercher a produit une liste des opérations (P. 84) faisant état de 24,3 heures d’activité, y compris 2,5 heures pour l’audience d’appel. Le temps allégué apparaît excessif dès lors que Me Bercher, désigné curateur de représentation de la plaignante le 29 octobre 2013, avait déjà acquis une parfaite connaissance du dossier en première instance, procé­dure pour laquelle une indemnité de 12'000 fr. lui a d’ailleurs été allouée par le jugement entrepris. Il apparaît en outre qu’une bonne partie des opérations, savoir des entre­tiens téléphoniques et des courriers à l’assurance de la plaignante, ont trait au règle­ment civil du litige. Tout bien considéré, il convient d’arrêter le temps néces­saire à la défense des intérêts de la plaignante pour la procédure d’appel à 10 heu­res, temps de déplacement à l’audience et audience d’appel compris. Au tarif horaire de 300 fr., l’indemnité allouée à Me Henri Bercher sera ainsi arrêtée à 3'240 fr., TVA comprise, et mise à la charge de la prévenue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