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373 vom 2. Februar 2016</w:t>
      </w:r>
    </w:p>
    <w:p>
      <w:r>
        <w:t>VD Tribunal cantonal, 2016-02-02, FR</w:t>
      </w:r>
    </w:p>
    <w:p>
      <w:r>
        <w:rPr>
          <w:b/>
        </w:rPr>
        <w:t xml:space="preserve">Quelle: </w:t>
      </w:r>
      <w:r>
        <w:t>https://mcp.opencaselaw.ch/entscheid/vd_findinfo_Jug___2016___373</w:t>
      </w:r>
    </w:p>
    <w:p>
      <w:r>
        <w:t>FR: VD_FINDINFO Jug / 2016 / 373 du 2 février 2016</w:t>
      </w:r>
    </w:p>
    <w:p>
      <w:r>
        <w:t>IT: VD_FINDINFO Jug / 2016 / 373 del 2 febbraio 2016</w:t>
      </w:r>
    </w:p>
    <w:p>
      <w:pPr>
        <w:pStyle w:val="Heading2"/>
      </w:pPr>
      <w:r>
        <w:t>Regeste</w:t>
      </w:r>
    </w:p>
    <w:p>
      <w:r>
        <w:t>SURSIS PARTIEL À L'EXÉCUTION DE LA PEINE, NÉCESSITÉ D'UN TRAITEMENT, PRONOSTIC, ACTE D'ORDRE SEXUEL AVEC UN ENFANT, FIXATION DE LA PEINE, NE BIS IN IDEM, PORNOGRAPHIE, PEINE PRIVATIVE DE LIBERTÉ | 187 CP, 42 CP, 43 CP, 47 CP, 94 CP, 10 CPP (CH), 11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formés par M.________ et X.________ ainsi que les appels joints formés par le Ministère public sont recevables.</w:t>
      </w:r>
    </w:p>
    <w:p>
      <w:r>
        <w:rPr>
          <w:b/>
        </w:rPr>
        <w:t>E. 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w:t>
      </w:r>
    </w:p>
    <w:p>
      <w:r>
        <w:rPr>
          <w:b/>
        </w:rPr>
        <w:t>E. 1.2</w:t>
      </w:r>
    </w:p>
    <w:p>
      <w:r>
        <w:t>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obstacles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w:t>
      </w:r>
    </w:p>
    <w:p>
      <w:r>
        <w:rPr>
          <w:b/>
        </w:rPr>
        <w:t>E. 1.3</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consid. 5.6,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il s'agit de diminuer la faute et non la peine ; la réduction de la peine n'est que la conséquence de la faute plus légère (ATF 136 IV 55 précité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w:t>
      </w:r>
    </w:p>
    <w:p>
      <w:r>
        <w:rPr>
          <w:b/>
        </w:rPr>
        <w:t>E. 2</w:t>
      </w:r>
    </w:p>
    <w:p>
      <w:r>
        <w:t>X.________</w:t>
      </w:r>
    </w:p>
    <w:p>
      <w:r>
        <w:rPr>
          <w:b/>
        </w:rPr>
        <w:t>E. 2.1</w:t>
      </w:r>
    </w:p>
    <w:p>
      <w:r>
        <w:t>X.________ conteste la quotité et le genre de peine qui lui a été infligée. Elle soutient que le prononcé d’une peine pécuniaire de cent huitante jours au maximum, avec sursis pendant deux ans, serait suffisamment dissuasif, dès lors qu’elle doit être libérée sur certains points de l’accusation et qu’elle aurait été très affectée par cette affaire, qui touche sa fille. Le Ministère public soutient au contraire que la peine infligée à la prévenue est trop clémente, compte tenu de la gravité des faits qu’elle a commis et de son comportement dénotant une absence particulière d’empathie envers sa fille adolescente, et il conclut à une peine privative de liberté de vingt mois, avec sursis.</w:t>
      </w:r>
    </w:p>
    <w:p>
      <w:r>
        <w:rPr>
          <w:b/>
        </w:rPr>
        <w:t>E. 2.2</w:t>
      </w:r>
    </w:p>
    <w:p>
      <w:r>
        <w:t>En l’occurrence, il faut constater, avec l’appelante, qu’elle a bénéficié d’une ordonnance de classement du 18 décembre 2014 s’agissant des faits qui se seraient déroulés à Paris au mois de décembre 2010. L’état de fait a été modifié en ce sens. En conséquence, X.________ doit être libérée du chef d’accusation d’actes d’ordre sexuel avec des enfants. II. 1. Les peines sont contestées par les prévenus et par le Ministère public.</w:t>
      </w:r>
    </w:p>
    <w:p>
      <w:r>
        <w:rPr>
          <w:b/>
        </w:rPr>
        <w:t>E. 2.2.1</w:t>
      </w:r>
    </w:p>
    <w:p>
      <w:r>
        <w:t>La Cour de céans fait sienne l’appréciation des premiers juges qui ont qualifié la culpabilité de X.________ de lourde. A juste titre, ils ont retenu à charge qu’elle avait porté atteinte à des biens juridiquement importants, qui plus est à ceux de sa propre fille, le concours d’infractions et sa prise de conscience existante, mais encore faible. A décharge, ils ont tenu compte de sa situation personnelle, de ses aveux, dans une certaine mesure, et de la diminution légère de sa responsabilité pénale. Même si certains faits retenus par le tribunal de première instance, soit la participation de la prévenue à la séance de photographies et les actes qui sont survenus à Paris, ne sont pas retenus par la Cour de céans, la culpabilité de X.________ demeure lourde. En effet, force est de constater qu’elle a porté atteinte au développement psychique de sa fille pendant plusieurs mois. Elle s’est ainsi non seulement abstenue d’intervenir lorsque M.________ massait, par exemple, les fesses et les seins de l’adolescente, mais elle a en plus participé à certains actes en proposant notamment à sa fille d’essayer un sex toy. Plusieurs infractions entrent par ailleurs en concours. La prévenue a privilégié sa relation amoureuse au bien de sa fille, qu’elle a gravement mis en péril ; en outre, les faits se sont inscrits dans la durée. Par ailleurs, s’il est vrai que X.________, qui se décrit sous l’emprise de son compagnon et donc incapable de réagir, est atteinte d’un trouble de la personnalité de type dépendant dont découle une diminution légère de sa capacité volitive, selon l’expertise psychiatrique qui est convaincante, il n’en demeure pas moins que sa capacité d’apprécier le caractère illicite de ses actes était pleinement conservée. Ses dénégations en cours de procédure, sa manière de toujours se présenter comme la victime de son compagnon en minimisant ses propres actes, mais surtout sa façon de faire porter la responsabilité de ses actes sur sa fille qu’elle décrit comme demanderesse sont détestables et démontrent que sa prise de conscience de la gravité objective de son comportement est partielle. A décharge, il y a lieu de retenir la diminution légère de sa responsabilité, sa situation personnelle, ses aveux partiels, mais aussi les efforts faits pour renouer avec sa fille et le suivi psychothérapeutique auquel elle se soumet.</w:t>
      </w:r>
    </w:p>
    <w:p>
      <w:r>
        <w:rPr>
          <w:b/>
        </w:rPr>
        <w:t>E. 2.2.2</w:t>
      </w:r>
    </w:p>
    <w:p>
      <w:r>
        <w:t>S’agissant du genre de peine, on ne saurait soutenir que le prononcé d’une peine pécuniaire serait équivalent à celui d’une peine privative de liberté, compte tenu de la gravité des infractions commises, de la prise de conscience très partielle et de la lourde faute de X.________. La menace d’une sanction sous la forme d’une détention paraît la seule envisageable pour sanctionner le comportement de la prévenue et pour qu’elle prenne conscience de la gravité de ses actes.</w:t>
      </w:r>
    </w:p>
    <w:p>
      <w:r>
        <w:rPr>
          <w:b/>
        </w:rPr>
        <w:t>E. 2.3</w:t>
      </w:r>
    </w:p>
    <w:p>
      <w:r>
        <w:t>Au vu de ce qui précède et dès lors que certains faits ne sont finalement pas retenus par la Cour de céans, une peine privative de liberté de dix mois, avec sursis pendant deux ans, doit être infligée à X.________, ce qui entraîne l’admission partielle de son appel et le rejet de l’appel joint du Ministère public.</w:t>
      </w:r>
    </w:p>
    <w:p>
      <w:r>
        <w:rPr>
          <w:b/>
        </w:rPr>
        <w:t>E. 3</w:t>
      </w:r>
    </w:p>
    <w:p>
      <w:r>
        <w:t>M.________</w:t>
      </w:r>
    </w:p>
    <w:p>
      <w:r>
        <w:rPr>
          <w:b/>
        </w:rPr>
        <w:t>E. 3.1</w:t>
      </w:r>
    </w:p>
    <w:p>
      <w:r>
        <w:t>M.________ fait valoir une violation de l’art. 43 CP et soutient que les premiers juges se sont fondés sur une appréciation erronée du pronostic quant à son comportement futur, celui-ci devant tout au plus être qualifié de mitigé. Il soutient qu’il aurait reconnu avoir commis une erreur, exprimé des regrets et pris conscience du caractère inadéquat de ses actes, adhérant au principe d’une réparation du tort moral. En outre, l’appelant considère que les premiers juges n’ont pas tenu compte de son inexpérience, du fait qu’il n’avait pas réussi à tracer la limite entre sa vie de célibataire libertin et sa nouvelle vie de père de famille ainsi que du fait qu’il s’était soumis, sur une base volontaire, à un traitement psychothérapeutique. Il invoque en outre que le risque qu’il récidive serait jugé faible à moyen, selon l’expertise. Le Ministère public considère que la peine privative de liberté infligée à M.________ est trop clémente eu égard à la gravité des actes qui lui sont reprochés.</w:t>
      </w:r>
    </w:p>
    <w:p>
      <w:r>
        <w:rPr>
          <w:b/>
        </w:rPr>
        <w:t>E. 3.2</w:t>
      </w:r>
    </w:p>
    <w:p>
      <w:r>
        <w:t>En ce qui concerne la question de la quotité de la peine, il y a lieu, comme les premiers juges, de retenir que la culpabilité de M.________ est extrêmement lourde. Le prévenu s’est en effet livré pendant près d’un an à des actes d’ordre sexuel sur la fille adolescente de sa compagne, sous prétexte de l’aider, la confrontant et l’associant à ses fantasmes sexuels sans aucun égard pour sa jeunesse, sa naïveté et sa fragilité. Les infractions qui lui sont reprochées entrent par ailleurs en concours et le prévenu a récidivé quelques mois seulement après avoir été condamné une première fois pour pornographie, soit dans le même domaine d’infractions. On retiendra en outre son absence de prise de conscience, dès lors qu’il a, tout au long de l'instruction et encore aux débats de première instance, persisté dans ses dénégations, reportant ainsi sans cesse la responsabilité de ses actes sur la jeune fille, la décrivant comme sexuellement très demanderesse, et ne faisant preuve d’aucune empathie. A décharge, les premiers juges ont tenu compte, à juste titre, de sa situation personnelle, de ses quelques aveux très partiels, ainsi que de la diminution de responsabilité légère et de la tentative. Il y a lieu de tenir compte également des regrets exprimés même si le prévenu semble surtout regretter les conséquences pour lui de ses actes et pas pour sa victime, et du fait qu’il se soumet sur une base volontaire à un suivi psychothérapeutique. Au vu des éléments qui précèdent, la peine privative de liberté de trente mois infligée par les premiers juges paraît suffisante pour sanctionner son comportement.</w:t>
      </w:r>
    </w:p>
    <w:p>
      <w:r>
        <w:rPr>
          <w:b/>
        </w:rPr>
        <w:t>E. 3.3</w:t>
      </w:r>
    </w:p>
    <w:p>
      <w:r>
        <w:t>M.________ considère que la peine qui lui a été infligée devrait être assortie d’un sursis partiel, dès lors que le pronostic quant à son comportement futur serait mitigé.</w:t>
      </w:r>
    </w:p>
    <w:p>
      <w:r>
        <w:rPr>
          <w:b/>
        </w:rPr>
        <w:t>E. 3.3.1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De jurisprudence constante, les conditions subjectives auxquelles l'art. 42 CP soumet l'octroi du sursis intégral s'appliquent également à l'octroi du sursis partiel prévu à l’art. 43 CP.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 peut accorder un poids particulier à certains critères et en négliger d’autres qui sont pertinents (ATF 134 IV 1 consid. 5.3.1; cf. aussi TF 6B_510/2010 du 4 octobre 2010 consid. 1.1 et TF 6B_129/2015 du 11 avril 2016 consid. 3.1).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et les références citées). Lorsque le juge suspend totalement ou partiellement l'exécution d'une peine, il impartit au condamné un délai d'épreuve de deux à cinq ans (art. 44 al. 1 CP). Il peut ordonner une assistance de probation et imposer des règles de conduite pour la durée du délai d'épreuve (art. 44 al. 2 CP). Dans le cadre ainsi fixé par la loi, le juge détermine la durée du délai d’épreuve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La loi prévoit expressément que la règle de conduite peut porter sur des soins médicaux ou psychiques. Une règle de conduite ordonnant un suivi médical est donc parfaitement admissible (TF 6B_626/2008 du 11 novembre 2008 consid. 6 et les références citées).</w:t>
      </w:r>
    </w:p>
    <w:p>
      <w:r>
        <w:rPr>
          <w:b/>
        </w:rPr>
        <w:t>E. 3.3.2</w:t>
      </w:r>
    </w:p>
    <w:p>
      <w:r>
        <w:t>En l’occurrence, il est vrai que M.________ a déjà été condamné le 25 mai 2009 pour avoir téléchargé des fichiers pédophiles, que le risque qu’il récidive est jugé faible à moyen à dire d’experts, et que, comme l’avaient déjà relevé les premiers juges, il ne semble toujours pas, malgré le temps écoulé, avoir pris réellement conscience de son comportement fautif et de ses déviances, tout en expliquant être suivi psychologiquement depuis les événements de 2010. Ainsi, même s’il a reconnu, lors de l’audience d’appel, avoir commis des erreurs, force est de constater que le prévenu continue à se poser en victime, notamment de son inexpérience des liens familiaux et de son libertinage. Il faut toutefois relever qu’il bénéficie depuis environ six ans sur une base volontaire d’un suivi psychothérapeutique. Or celui-ci est devenu au fil du temps davantage une psychologie de soutien qu’une thérapie visant à pallier le risque de récidive. En effet, si M.________ a, dans un premier temps, bénéficié d’un suivi auprès du Dr  [...], médecin psychiatre au courant de son passé judiciaire pénal et de ses troubles, il l’a toutefois interrompu en septembre 2014 pour des raisons de pures commodités personnelles, soit des trajets qu’il qualifie de trop longs. Il a par la suite repris une psychothérapie auprès de la Consultation [...] à [...], pour un trouble dépressif récurrent avec syndrome somatique avec une tendance suicidaire peu élevée (P. 208), d’abord auprès d’ [...], psychologue spécialiste en psychothérapie et psychologie légale, puis, parce que ce dernier « le secouait trop » (cf. déclaration du prévenu, p. 3 supra), auprès de [...], psychologue clinicienne. Ces changements de thérapeutes démontrent une volonté claire de M.________ d’éviter à avoir à affronter les faits, passant en effet d’un médecin psychiatre connaissant ses antécédents judiciaires à une psychologue clinicienne traitant principalement de ses troubles dépressifs et tendances suicidaires. Ainsi, le suivi actuel est peut-être propre à soulager ses problèmes d’humeur mais pas à pallier le risque de récidive. Par ailleurs, dans le cadre de l’expertise psychiatrique de M.________, si les experts ont indiqué qu’un traitement psychothérapeutique imposé n’avait pas lieu d’être, ils ont cependant relevé qu’un traitement psychothérapeutique ambulatoire était susceptible de diminuer la vulnérabilité de l’expertisé, ce qui diminuerait en conséquence le risque de récidive (P. 78 p. 7 et 8). Il apparaît essentiel que M.________ soit soumis à un traitement psychothérapeutique adéquat. L’appelant a certes adhéré sur une base volontaire à un suivi, mais cela ne suffit pas dès lors qu’il se soustrait aux soins des spécialistes Un traitement ambulatoire par le SMPP s’impose et doit donc être ordonné. C’est ce suivi, sous forme de règle de conduite, et le fait que le prévenu ne conteste plus les faits en appel qui permettent de retenir un pronostic mitigé et de suspendre l’exécution de la moitié de la peine. La durée du délai d’épreuve sera de très longue durée et ainsi assortie d’une règle de conduite consistant en un traitement thérapeutique ambulatoire auprès du SMPP – auquel le prévenu adhère.</w:t>
      </w:r>
    </w:p>
    <w:p>
      <w:r>
        <w:rPr>
          <w:b/>
        </w:rPr>
        <w:t>E. 4</w:t>
      </w:r>
    </w:p>
    <w:p>
      <w:r>
        <w:t>Au vu de l’ensemble des éléments qui précèdent, une peine privative de liberté de trente mois, dont la moitié est suspendue avec un sursis pendant cinq ans, celui-ci étant assorti d’une règle de conduite consistant en un suivi d’un traitement thérapeutique ambulatoire auprès du SMPP dès son entrée en détention, doit être infligée à M.________. Il est en effet important qu’il soit suivi dès son incarcération également pour pallier d’éventuels troubles suicidaires. L’appel doit donc être partiellement admis. III. En définitive, les appels de X.________ et de M.________ doivent être partiellement admis et les appels joints du Ministère public rejetés. Vu l’issue de la cause, les frais communs de la procédure d’appel, par 3'232 fr. 20, constitués de l’émolument de jugement, par 2'710 fr., (art. 21 al. 1 et 2 TFIP [tarif des frais de procédure et indemnités en matière pénale du 28 septembre 2010 ; RSV 312.03.1]) et de l’indemnité allouée à Me Aline Bonard, conseil d’office de P.________, par 522 fr. 20, seront mis par un quart, soit par 808 fr. 05, à la charge de M.________, et par un quart, soit par 808 fr. 05, à la charge de X.________, le solde étant laissé à la charge de l’Etat. M.________ et X.________ supporteront en outre chacun la moitié de l’indemnité allouée à leur défenseur d’office, le solde étant laissé à la charge de l’Etat. Me Aline Bonard, conseil d’office de P.________ a produit une liste d’opérations faisant état 2 heures et 36 minutes (P. 204), dont il n’y a pas lieu de s’écarter. Une indemnité pour la procédure d’appel d’un montant de 522 fr. 20 lui sera par conséquent allouée. Me Adrien Gutowski, défenseur de M.________, a produit une liste d’opération faisant état de 22 heures et 5 minutes pour la procédure d’appel (P. 206). Le temps allégué apparaît toutefois excessif compte tenu de la connaissance du dossier acquise en première instance et du fait que seule la quotité de la peine est contestée. En outre, la liste produite ne permet pas de distinguer les opérations effectuées par l’avocat de celles réalisées par son stagiaire. Il convient par conséquent de retenir un total de 6 heures pour l’activité déployée par Me Adrien Gutowski au tarif horaire de 180 fr., 12 heures pour celle déployée par l’avocat‑stagiaire, une vacation à 120 fr., 50 fr. de débours, auxquels s’ajoute la TVA, par 205 fr. 60, ce qui correspond à une indemnité de 2'775 fr. 60. Me Raphaël Brochellaz, défenseur d’office de X.________, a pour sa part produit une liste d’opérations faisant état de 9 heures pour la procédure d’appel (P. 207), dont il n’y a pas lieu de s’écarter. Une indemnité de 1'947 fr. 80, TVA, débours et vacation inclus, lui sera donc allouée. Enfin, il s’avère que le dispositif adressé aux parties le 30 septembre 2016 contient une lacune. Il n’indique plus, à juste titre, que X.________ est condamnée pour actes d’ordre sexuel avec des enfants, mais il omet de mentionner qu’elle est libérée de cette infraction. En outre, il comporte une erreur de plume concernant la condamnation de X.________ dans la mesure où il est indiqué qu’elle est condamnée à une peine privative de liberté de « 10 (douze) mois » au lieu de « 10 (dix) mois ». S’agissant d’erreurs manifestes, le dispositif doit être modifié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