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357 vom 9. November 2015</w:t>
      </w:r>
    </w:p>
    <w:p>
      <w:r>
        <w:t>VD Tribunal cantonal, 2015-11-09, FR</w:t>
      </w:r>
    </w:p>
    <w:p>
      <w:r>
        <w:rPr>
          <w:b/>
        </w:rPr>
        <w:t xml:space="preserve">Quelle: </w:t>
      </w:r>
      <w:r>
        <w:t>https://mcp.opencaselaw.ch/entscheid/vd_findinfo_Jug___2016___357</w:t>
      </w:r>
    </w:p>
    <w:p>
      <w:r>
        <w:t>FR: VD_FINDINFO Jug / 2016 / 357 du 9 novembre 2015</w:t>
      </w:r>
    </w:p>
    <w:p>
      <w:r>
        <w:t>IT: VD_FINDINFO Jug / 2016 / 357 del 9 novembre 2015</w:t>
      </w:r>
    </w:p>
    <w:p>
      <w:pPr>
        <w:pStyle w:val="Heading2"/>
      </w:pPr>
      <w:r>
        <w:t>Regeste</w:t>
      </w:r>
    </w:p>
    <w:p>
      <w:r>
        <w:t>ACQUITTEMENT, TENTATIVE{DROIT PÉNAL}, CONTRAINTE{DROIT PÉNAL}, TRANSACTION JUDICIAIRE, TRANSACTION{ACCORD} | 22 ad 181 CP</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L.________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2.2</w:t>
      </w:r>
    </w:p>
    <w:p>
      <w:r>
        <w:t>En l'espèce, selon la transaction conclue par les parties le 10 mai 2016, le paiement aux époux A.K.________ par W.________SA d'un montant de 40'700 fr. a pour effet que la plainte déposée le 10 avril 2012 par les intimés contre l'appelant est réputée retirée. Toutefois, dès lors que la contrainte au sens de l'art. 181 CP constitue une infraction se poursuivant d'office, ce retrait ne rend pas le présent appel sans objet. Il appartient en effet à la Cour de céans de prononcer un nouveau jugement, selon sa libre conviction, en se fondant sur les preuves administrées pendant la procédure préliminaire, la procédure de première instance et la procédure d'appel.</w:t>
      </w:r>
    </w:p>
    <w:p>
      <w:r>
        <w:rPr>
          <w:b/>
        </w:rPr>
        <w:t>E. 3.1</w:t>
      </w:r>
    </w:p>
    <w:p>
      <w:r>
        <w:t>L'appelant conteste sa condamnation pour tentative de contrainte (art. 22 al. 1 ad art. 181 CP).</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ATF 120 IV 17 consid. 2a/bb).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arrêt TF 6B_1086/2015 du 3 juin 2016 ; TF 6B_447/2014 du 30 octobre 2014 ; TF 6B_281/2013 du 16 juillet 2013 ; TF 6S.853/2000 du 9 mai 2001 et TF 6S.874/1996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consid. 2 aa ;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3.3</w:t>
      </w:r>
    </w:p>
    <w:p>
      <w:r>
        <w:t>En l'espèce, les faits relatés dans l'acte d'accusation s'inscrivent dans le contexte d'un contrat d'entreprise générale conclu en 2009, entre les intimés et W.________SA, et portant sur la construction d'une villa à Etagnières. Ayant constaté l'apparition de divers défauts, les intimés, par l'intermédiaire de leur conseil, ont imparti un délai à W.________SA pour procéder à la réparation de leur villa. Dès lors que la garantie pour ces défauts est soumise à de stricts délais de prescription, le conseil des intimés lui a en outre suggéré de signer une déclaration de renonciation à se prévaloir de la prescription afin d'éviter la notification d'un commandement de payer interruptif. Par la suite, en l'absence de réaction de W.________SA et afin de préserver les délais légaux de prescription, le conseil des intimés s'est vu dans l'obligation de former, aux noms de ses clients, une réquisition de poursuite à l'encontre de W.________SA portant sur un montant en capital de 250'000 francs. En réponse, L.________, pour le compte de W.________SA, lui a adressé un courrier en date du 30 janvier 2012, qui mentionnait ce qui suit : « Nous avons pris bonne note de votre courrier et nous vous sommons de retirer le commandement de payer à réception de la présente, faute de quoi nous procéderons de la même manière à l'encontre de vos clients et pour le double du montant. Nous n'apprécions pas la manière avec laquelle vous tentez d'exercer une pression sur nous et nous envisageons bien entendu de la répercuter sur vos clients. […] » C'est quelques jours après l'envoi de ce courrier, soit le 3 février 2012, que L.________ a fait notifier aux intimés les commandements de payer litigieux.</w:t>
      </w:r>
    </w:p>
    <w:p>
      <w:r>
        <w:rPr>
          <w:b/>
        </w:rPr>
        <w:t>E. 3.4</w:t>
      </w:r>
    </w:p>
    <w:p>
      <w:r>
        <w:t>Le déroulement des événements et leur contexte font naître de sérieux doutes quant au fait que L.________ puisse avoir été conscient d’adopter un acte pénalement répréhensible en adressant des réquisitions de poursuite infondées contre chacun des intimés. En effet, si l'appelant a agi de la sorte, c'est avant tout car, agacé et vexé de voir son travail contesté, il tenait à exprimer sa rage et son mécontentement en réponse au commandement de payer que sa société venait de se voir notifier de la part des intimés et que l'appelant estimait totalement injustifié. A défaut d'avoir été adéquatement conseillé sur le plan juridique, il n'avait en particulier pas saisi que, contrairement aux poursuites qu'il avait introduites contre les intimés, le commandement de payer notifié à W.________SA était fondé sur des motifs légitimes, ayant trait en l'occurrence à l'interruption de la prescription. A cet égard, l'appelant n'avait vraisemblablement pas non plus compris que la signature d'une déclaration de renonciation à se prévaloir de la prescription aurait épargné à sa société la notification un commandement de payer. En annonçant de manière très ouverte sa future démarche, quelques jours avant les faits, par courrier au conseil des intimés, L.________ tend par ailleurs à démontrer, par son comportement particulièrement naïf, qu'il n'avait aucunement conscience d'adopter un acte pénalement répréhensible, même par dol éventuel. Il s'ensuit qu'à défaut d'un caractère intentionnel décelable dans le comportement de l'appelant, l'élément constitutif subjectif de l'art. 181 CP n'est pas réalisé. L.________ doit en conséquence se voir libéré de l'accusation de tentative de contrainte. Au demeurant, dès lors que l'acte d'accusation est muet quant à l'élément subjectif de l'infraction reprochée à l'appelant, en particulier eu égard au dol éventuel par lequel il pourrait avoir agi, il est douteux qu'une éventuelle condamnation de l'appelant pour les faits décrits par le Ministère public respecte le principe de l'accusation (art. 9 CPP ; Moreillon/Parein-Reymond, Petit commentaire du Code de procédure pénale, 2 e éd., Bâle 2016, n. 9 ad art. 325 CPP).</w:t>
      </w:r>
    </w:p>
    <w:p>
      <w:r>
        <w:rPr>
          <w:b/>
        </w:rPr>
        <w:t>E. 4</w:t>
      </w:r>
    </w:p>
    <w:p>
      <w:r>
        <w:t>En définitive, l'appel doit être admis et le dispositif du jugement entrepris modifié en ce sens que L.________ est libéré du chef de prévention de tentative de contrainte.</w:t>
      </w:r>
    </w:p>
    <w:p>
      <w:r>
        <w:rPr>
          <w:b/>
        </w:rPr>
        <w:t>E. 5</w:t>
      </w:r>
    </w:p>
    <w:p>
      <w:r>
        <w:t>Malgré la libération de l'appelant, il n'y a pas lieu de remettre en cause la répartition des frais de procédure opérée par le premier juge, la prise en charge de ces frais faisant au demeurant l'objet d'une transaction entre les parties (cf. ch. V), qui a déjà été exécutée.</w:t>
      </w:r>
    </w:p>
    <w:p>
      <w:r>
        <w:rPr>
          <w:b/>
        </w:rPr>
        <w:t>E. 6</w:t>
      </w:r>
    </w:p>
    <w:p>
      <w:r>
        <w:t>Dès lors que, dans le cadre de la transaction conclue entre les parties, l'appelant a renoncé à l'allocation de dépens pour la procédure d'appel, il n'y a pas lieu de lui allouer une indemnité au sens des art. 429 ou 432 CPP. Vu l'issue de la cause, les frais d'appel, constitués du seul émolument de 1'690 fr. (art. 21 al. 1 et 2 TFIP  [tarif des frais de procédure et indemnités en matière pénale du 28 septembre 2010; RSV 312.03.1]), peuvent être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