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354 vom 26. September 2016</w:t>
      </w:r>
    </w:p>
    <w:p>
      <w:r>
        <w:t>VD Tribunal cantonal, 2016-09-26, FR</w:t>
      </w:r>
    </w:p>
    <w:p>
      <w:r>
        <w:rPr>
          <w:b/>
        </w:rPr>
        <w:t xml:space="preserve">Quelle: </w:t>
      </w:r>
      <w:r>
        <w:t>https://mcp.opencaselaw.ch/entscheid/vd_findinfo_Jug___2016___354</w:t>
      </w:r>
    </w:p>
    <w:p>
      <w:r>
        <w:t>FR: VD_FINDINFO Jug / 2016 / 354 du 26 septembre 2016</w:t>
      </w:r>
    </w:p>
    <w:p>
      <w:r>
        <w:t>IT: VD_FINDINFO Jug / 2016 / 354 del 26 settembre 2016</w:t>
      </w:r>
    </w:p>
    <w:p>
      <w:pPr>
        <w:pStyle w:val="Heading2"/>
      </w:pPr>
      <w:r>
        <w:t>Regeste</w:t>
      </w:r>
    </w:p>
    <w:p>
      <w:r>
        <w:t>RÉVISION{DÉCISION}, DÉCISION D'IRRECEVABILITÉ | 410 al. 1 let. a CPP (CH)</w:t>
      </w:r>
    </w:p>
    <w:p>
      <w:pPr>
        <w:pStyle w:val="Heading2"/>
      </w:pPr>
      <w:r>
        <w:t>Erwägungen</w:t>
      </w:r>
    </w:p>
    <w:p>
      <w:r>
        <w:rPr>
          <w:b/>
        </w:rPr>
        <w:t>E. 1.1</w:t>
      </w:r>
    </w:p>
    <w:p>
      <w:r>
        <w:t>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Dans cette hypothèse, la demande de révision n’est soumise à aucun délai (art. 411 al. 2 CPP). Cette disposition reprend la double exigence posée à l'art. 385 CP selon laquelle les faits ou moyens de preuve invoqués doivent être nouveaux et sérieux.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 TF 6B_866/2014 du 26 février 2015 consid. 1.1).</w:t>
      </w:r>
    </w:p>
    <w:p>
      <w:r>
        <w:rPr>
          <w:b/>
        </w:rPr>
        <w:t>E. 1.2</w:t>
      </w:r>
    </w:p>
    <w:p>
      <w:r>
        <w:t>Selon l'art. 411 al. 1 CPP, pour être valides en la forme, les demandes de révision doivent être motivées et adressées par écrit à la juridiction d’appel, les motifs de révision devant être exposés et justifiés dans la demande. Aux termes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(TF 6B_444/2015 du 22 juin 2015 consid. 4.3 et les réf. citées).</w:t>
      </w:r>
    </w:p>
    <w:p>
      <w:r>
        <w:rPr>
          <w:b/>
        </w:rPr>
        <w:t>E. 1.3</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Cette jurisprudence, rendue avant l'entrée en vigueur du CPP, garde sa portée (TF 6B_1138/2014 du 16 janvier 2015 consid. 1.3 ; TF 6B_415/2012 du 14 décembre 2012 consid. 1.1 ; TF 6B_310/2011 du 20 juin 2011 consid. 1.3 ; CAPE 5 mars 2014/76).</w:t>
      </w:r>
    </w:p>
    <w:p>
      <w:r>
        <w:rPr>
          <w:b/>
        </w:rPr>
        <w:t>E. 2.1</w:t>
      </w:r>
    </w:p>
    <w:p>
      <w:r>
        <w:t>A l'appui de sa demande de révision, A.R.________ a produit une lettre manuscrite datée du 25 mai 2016 signée par ses filles D.R.________ et E.R.________, qui exposent que tout ce qu'elles ont dit était faux, que leurs parents les ont « engueulées » ou leur ont donné des claques, mais n'ont jamais utilisé d'armes pour les frapper, et que tout ce qui a été dit par rapport à leur frère C.R.________ « dans l'histoire avec D.R.________ » était totalement faux. Elles souhaitent retirer leur plainte afin que leur père puisse avoir un casier judiciaire vierge et retrouver du travail.</w:t>
      </w:r>
    </w:p>
    <w:p>
      <w:r>
        <w:rPr>
          <w:b/>
        </w:rPr>
        <w:t>E. 2.2</w:t>
      </w:r>
    </w:p>
    <w:p>
      <w:r>
        <w:t>Il convient tout d'abord de préciser que seuls les propos concernant le requérant, contenus dans la lettre des plaignantes du 25 mai 2016, doivent être examinés, dès lors que son fils C.R.________ n'a pas déposé de demande de révision.</w:t>
      </w:r>
    </w:p>
    <w:p>
      <w:r>
        <w:rPr>
          <w:b/>
        </w:rPr>
        <w:t>E. 2.3</w:t>
      </w:r>
    </w:p>
    <w:p>
      <w:r>
        <w:t>Dans le cas d'espèce, le requérant a retiré l'opposition qu'il avait formée contre l'ordonnance pénale du 1 er avril 2015 dont il demande la révision, de sorte que celle-ci est devenue définitive et exécutoire. Il ne saurait donc soutenir de bonne foi, plus d'un an après avoir retiré son opposition, que les faits contenus dans la décision litigieuse ne sont pas avérés.</w:t>
      </w:r>
    </w:p>
    <w:p>
      <w:r>
        <w:rPr>
          <w:b/>
        </w:rPr>
        <w:t>E. 2.4</w:t>
      </w:r>
    </w:p>
    <w:p>
      <w:r>
        <w:t>En outre, force est de constater que la demande de révision ne contient aucun élément nouveau susceptible de modifier la teneur de la condamnation prononcée. En effet, il résulte du dossier que le requérant a déjà déclaré en cours d'instruction qu'il avait uniquement donné des gifles à ses filles (PV aud. 10, D. 11, p. 4) et que les déclarations des plaignantes ont déjà été contradictoires, celles-ci affirmant tout d'abord entretenir de bonnes relations avec leurs parents (PV aud. 1, D. 6 et PV aud. 2, D. 6 du 1 er février 2013), puis déclarant subir des maltraitances de la part de leur père (PV aud. 3, D. 4, p. 4 et PV aud. 4, D. 5, p. 3 du 14 février 2013). De surcroît, en septembre 2012, D.R.________ était déjà revenue une première fois sur ses accusations, quelques heures après avoir été admise à l'Unité d'hospitalisation psychiatrique pour adolescents et après un entretien avec ses parents au cours duquel elle avait prétendu que tout allait bien en famille (lettre du SUPEA du 14 septembre 2012, p. 1 in fine). Au surplus, c'est le lieu de relever que toutes les infractions commises par le requérant (lésions corporelles simples qualifiées, voies de fait qualifiées et violation du devoir d'assistance ou d'éducation) se poursuivent d'office – celles-ci ayant été commises au préjudice de ses enfants – et que, comme évoqué ci-dessus, les hésitations et autres revirements des plaignantes faisaient déjà partie du dossier au moment où il a été jugé, de sorte que tant le retrait de plainte des jumelles que leurs nouvelles affirmations ne sauraient influer sur la condamnation prononcée contre leur père. Enfin et surtout, on rappellera que ce n'est pas le dépôt de plainte des jumelles qui a déclenché l'ouverture de la procédure pénale, mais les dénonciations du chef du Service de la protection de la jeunesse, consécutivement à la lettre du SUPEA du 14 septembre 2012 faisant état d'un profond mal-être des intéressées, découlant peut-être pour l'une d'entre elles d'une tentative d'acte d'ordre sexuel de la part de son frère, mais n'en résultant pas moins d'un climat de violence familiale aussi ancien qu'avéré (P. 6/1, 6/2 et 11). La dernière volte-face des plaignantes ne justifie donc nullement l'ouverture d'une nouvelle procédure. En définitive, les déclarations des plaignantes ne sont de toute façon pas propres à conduire à une autre appréciation des preuves que celle déjà opérée par l'autorité de première instance.</w:t>
      </w:r>
    </w:p>
    <w:p>
      <w:r>
        <w:rPr>
          <w:b/>
        </w:rPr>
        <w:t>E. 2.5</w:t>
      </w:r>
    </w:p>
    <w:p>
      <w:r>
        <w:t>Vu ce qui précède, la demande de révision de A.R.________ doit être déclarée irrecevable.</w:t>
      </w:r>
    </w:p>
    <w:p>
      <w:r>
        <w:rPr>
          <w:b/>
        </w:rPr>
        <w:t>E. 3</w:t>
      </w:r>
    </w:p>
    <w:p>
      <w:r>
        <w:t>Vu l’issue de la cause, les frais de révision, par 660 fr. (art. 21 TFIP [Tarif des frais de procédure et indemnités en matière pénale du 28 septembre 2010 ; RSV 312.03.1], par renvoi de l'art. 22 de cette loi), doivent être mis à la charge de A.R.________.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