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352 vom 28. April 2016</w:t>
      </w:r>
    </w:p>
    <w:p>
      <w:r>
        <w:t>VD Tribunal cantonal, 2016-04-28, FR</w:t>
      </w:r>
    </w:p>
    <w:p>
      <w:r>
        <w:rPr>
          <w:b/>
        </w:rPr>
        <w:t xml:space="preserve">Quelle: </w:t>
      </w:r>
      <w:r>
        <w:t>https://mcp.opencaselaw.ch/entscheid/vd_findinfo_Jug___2016___352</w:t>
      </w:r>
    </w:p>
    <w:p>
      <w:r>
        <w:t>FR: VD_FINDINFO Jug / 2016 / 352 du 28 avril 2016</w:t>
      </w:r>
    </w:p>
    <w:p>
      <w:r>
        <w:t>IT: VD_FINDINFO Jug / 2016 / 352 del 28 aprile 2016</w:t>
      </w:r>
    </w:p>
    <w:p>
      <w:pPr>
        <w:pStyle w:val="Heading2"/>
      </w:pPr>
      <w:r>
        <w:t>Regeste</w:t>
      </w:r>
    </w:p>
    <w:p>
      <w:r>
        <w:t>TENTATIVE{DROIT PÉNAL}, MEURTRE, DOL ÉVENTUEL, EXPERTISE PSYCHIATRIQUE, RESPONSABILITÉ{DROIT PÉNAL}, FIXATION DE LA PEINE, ATTÉNUATION DE LA PEINE | 44 al. 1 CO, 12 CP, 19 al. 2 CP, 22 ad 111 CP, 47 CP, 10 CPP (CH)</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l’appel formé par S.________ et l’appel joint formé par le Ministère public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6B_574/2015 du 25 février 2016 consid. 1.1 et la référence citée).</w:t>
      </w:r>
    </w:p>
    <w:p>
      <w:r>
        <w:rPr>
          <w:b/>
        </w:rPr>
        <w:t>E. 2.1.1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Au stade de l'appréciation des preuves, le grief d'arbitraire se confond avec celui déduit de la violation du principe in dubio pro reo. Comme principe présidant à l'appréciation des preuves, la présomption d'innocence (art. 10 CPP) est violée si le juge du fond se déclare convaincu de faits défavorables à l'accusé sur lesquels, compte tenu des éléments de preuve qui lui sont soumis, il aurait au contraire dû, objectivement, éprouver des doutes.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(TF 6B_1220/2015 du 19 juillet 2016 consid. 2.1 et les références citées).</w:t>
      </w:r>
    </w:p>
    <w:p>
      <w:r>
        <w:rPr>
          <w:b/>
        </w:rPr>
        <w:t>E. 2.1.2</w:t>
      </w:r>
    </w:p>
    <w:p>
      <w:r>
        <w:t>Les premiers juges ont bien, en réalité, retenu que G.________ avait dit à Z.________, en parlant de S.________, « calme ton petit ou je vais le frapper » (cf. jgt p. 24). S’ils n’ont rappelé que la première partie de la phrase au moment d'examiner l'intention du prévenu, c'est parce qu’ils ont considéré que ce dernier avait agi, non pas par peur, mais sous le coup de la colère, provoquée par l’utilisation du terme « petit ». Il n'y a donc pas de constatation erronée des faits. La version d'un coup de poing donné par la victime et d'un malaise du prévenu est contredite par le dossier. Les premières déclarations de S.________ selon lesquelles G.________ lui aurait donné un coup de poing et qu'il aurait ensuite sorti son couteau (PV aud. 3, p. 3) sont en particulier clairement mensongères. Il apparaît en effet, sur les images de vidéosurveillance du wagon (P. 13), que S.________ manipule son couteau tandis que G.________ l'ignore complètement. S’il est vrai que le film des événements ne montre effectivement que des images ponctuelles, il n'en demeure pas moins que Z.________ a affirmé, lors de son audition, que le plaignant n’avait assené aucun coup au prévenu, expliquant que S.________ avait « planté G.________, comme ça sans raison », et qu'il était « chaud et énervé » (PV aud.</w:t>
      </w:r>
    </w:p>
    <w:p>
      <w:r>
        <w:rPr>
          <w:b/>
        </w:rPr>
        <w:t>E. 2.2.1</w:t>
      </w:r>
    </w:p>
    <w:p>
      <w:r>
        <w:t>Aux termes de l'art. 111 CP, celui qui aura intentionnellement tué une personne sera puni d'une peine privative de liberté de cinq ans au moins, en tant que les conditions prévues aux articles suivant ne seront pas réalisées. Selon l'art. 22 al. 1 CP, le juge peut atténuer la peine si l'exécution d'un crime ou d'un délit n'est pas poursuivie jusqu'à son terme ou que le résultat nécessaire à la consommation de l'infraction ne se produit pas ou ne pouvait pas se produire.</w:t>
      </w:r>
    </w:p>
    <w:p>
      <w:r>
        <w:rPr>
          <w:b/>
        </w:rPr>
        <w:t>E. 2.2.2</w:t>
      </w:r>
    </w:p>
    <w:p>
      <w:r>
        <w:t>Selon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(al. 3). La doctrine et la jurisprudence distinguent le dessein (ou dol direct de premier degré), le dol simple (ou dol direct de deuxième degré) et le dol éventuel. Ces trois formes correspondent à un comportement intentionnel au sens de l’art. 12 al. 2 CP. Il y a dessein lorsque l’auteur prévoit les conséquences de son acte et cherche précisément à les produire. Le dol simple qualifie la situation où l’auteur ne s’est pas fixé pour but de commettre l’infraction et considère le résultat comme indifférent ou indésirable, mais s’en accommode car il s’agit du moyen de parvenir au but recherché. Enfin, le dol éventuel, qui correspond à l’hypothèse visée à l’art. 12 al. 2 CP, 2 e phrase, implique l’indifférence de l’auteur quant à la réalisation de l’infraction, de telle sorte qu’il doit dans son for intérieur approuver celle-ci ou y consentir.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Petit commentaire du Code pénal, Bâle 2012, n. 10 à 16 ad art. 12 CP et les références citées). S’agissant de la distinction entre dol éventuel et négligence consciente, il faut relever que celui qui agit par dol éventuel s’accommode du résultat dommageable pour le cas où il se produirait, celui qui agit par négligence consciente escompte – ensuite d’une imprévoyance coupable – que ce résultat, qu’il envisage aussi comme possible, ne se produira pas. La distinction entre ces deux notions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133 IV 9 consid. 4.1 ; TF 6B_718/2015 du 14 avril 2016 consid. 2 et les références citées ; cf. ég. Dupuis et al., op. cit., n. 19 à 21 ad art. 111 CP).</w:t>
      </w:r>
    </w:p>
    <w:p>
      <w:r>
        <w:rPr>
          <w:b/>
        </w:rPr>
        <w:t>E. 2.2.3</w:t>
      </w:r>
    </w:p>
    <w:p>
      <w:r>
        <w:t>Le Tribunal déduit l'intention homicide, par dol éventuel, de la colère de S.________, du fait que plusieurs coups ont été donnés, de leur emplacement, de leur violence et également du fait que S.________ aurait continué à frapper G.________ si Z.________ n’était pas intervenu pour le maîtriser. En l’occurrence, une telle conclusion ne peut qu'être suivie. Ce n'est pas parce que S.________ n'a ni prémédité son geste ni ne l'a longuement élaboré mentalement, ou parce qu'il s'est laissé submerger par la colère et a perdu le contrôle de lui-même, qu'il ignorait le risque qu'il faisait courir à G.________. Les gestes, violents et répétés, étaient bien voulus, dès lors que la capacité de discernement n'était pas complètement annihilée selon le rapport d’expertise psychiatrique. On ne peut au demeurant pas déduire une absence d'intention du fait que S.________ n'aurait sans doute pas agi de la sorte à jeun. Le prévenu était d'ailleurs conscient d'avoir mal agi puisque, selon le témoin B.J.________, il a essayé de prendre la fuite après les faits (PV aud. 2, p. 3). Par conséquent, c’est donc à juste titre que les premiers juges ont retenu une volonté homicide, à tout le moins par dol éventuel. 3. S.________ estime la peine trop sévère. Il considère qu'elle ne tient compte ni de la souffrance que G.________ lui aurait infligée sans raison par le passé et dont il n’aurait pu s’ouvrir à personne, ni de sa réelle intention dès lors qu’il aurait redouté une agression imminente de ce dernier et donc eu le sentiment de se défendre. L’appelant rappelle aussi qu'il convient de tenir compte de sa diminution de responsabilité et du fait que le pronostic vital de la victime n'a jamais été engagé. Le Ministère public soutient pour sa part que les premiers juges auraient accordé une importance excessive à la diminution de responsabilité du prévenu et qu'ils n'auraient pas dû réduire linéairement la peine de 25 % pour une diminution légère de responsabilité, dès lors que le Tribunal fédéral ne l'exige plus.</w:t>
      </w:r>
    </w:p>
    <w:p>
      <w:r>
        <w:rPr>
          <w:b/>
        </w:rPr>
        <w:t>E. 3</w:t>
      </w:r>
    </w:p>
    <w:p>
      <w:r>
        <w:t>Le prévenu conteste l'intention homicide, même au stade du dol éventuel. Il fait valoir à cet égard que le raisonnement des juges de première instance (cf. jgt, p. 28), se fonde sur un état de fait erroné dans la mesure où ils auraient retenu que G.________ aurait seulement dit à Z.________ « calme ton petit » alors qu'en réalité, il lui aurait dit « calme ton petit ou je vais le frapper ». S.________ soutient ainsi que cette phrase provocatrice, par laquelle il se serait senti menacé, et le geste de G.________ consistant à se lever et à tenter de le repousser, auraient ravivé dans son esprit le traumatisme de violences subies des années auparavant et l’auraient fait craindre d'être à nouveau frappé. Selon les termes de son appel, il aurait alors anticipé cette attaque, dans une situation avoisinant la légitime défense putative. Enfin, S.________ estime que ses facultés mentales et son éthylisme au moment des faits ne lui auraient pas permis, en une fraction de seconde, de former une volonté homicide qu'il n'avait jusqu’alors pas. S.________ paraît en outre invoquer une réelle légitime défense. Il fait en effet valoir que l'enregistrement des caméras de surveillance de la rame, saccadé, ne montre pas l’intégralité des événements, et qu'il est donc possible que G.________ lui ait donné un coup de poing avant d'être lui-même poignardé, comme il l’avait affirmé, relevant, à cet égard, qu'il avait un hématome à l'œil. L’appelant déduit en outre de sa phrase « je voyais tout noir » que le coup de poing allégué lui aurait presque fait perdre connaissance et soutient qu'il n'aurait fait que de se débattre dangereusement avec un couteau à la main en gesticulant dans tous les sens. S.________ se prévaut enfin d’une phrase de G.________ aux débats, selon laquelle le prévenu aurait « essayé de se défendre avec le couteau » (cf. jgt p. 13).</w:t>
      </w:r>
    </w:p>
    <w:p>
      <w:r>
        <w:rPr>
          <w:b/>
        </w:rPr>
        <w:t>E. 3.1.1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TF 6B_1276/2015 du 29 juin 2016 consid. 2.1).</w:t>
      </w:r>
    </w:p>
    <w:p>
      <w:r>
        <w:rPr>
          <w:b/>
        </w:rPr>
        <w:t>E. 3.1.2</w:t>
      </w:r>
    </w:p>
    <w:p>
      <w:r>
        <w:t>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consid. 5.6, JdT 2010 IV 127).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il s'agit de diminuer la faute et non la peine ; la réduction de la peine n'est que la conséquence de la faute plus légère (ATF 136 IV 55 précité consid. 5.5).</w:t>
      </w:r>
    </w:p>
    <w:p>
      <w:r>
        <w:rPr>
          <w:b/>
        </w:rPr>
        <w:t>E. 3.1.3</w:t>
      </w:r>
    </w:p>
    <w:p>
      <w:r>
        <w:t>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précité consid. 5.6). En présence d'une diminution de responsabilité pénale, le juge doit ainsi procéder comme il suit.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second temps, il lui incombe de déterminer la peine hypothétique, qui correspond à cette faute. La peine ainsi fixée peut ensuite être, le cas échéant, modifiée en raison, notamment, de facteurs liés à l'auteur (ATF 136 IV 55 précité consid. 5.7).</w:t>
      </w:r>
    </w:p>
    <w:p>
      <w:r>
        <w:rPr>
          <w:b/>
        </w:rPr>
        <w:t>E. 3.2</w:t>
      </w:r>
    </w:p>
    <w:p>
      <w:r>
        <w:t>Le moyen relatif à l'intention du prévenu est, comme on l'a vu plus haut, mal fondé. S’agissant des autres griefs, les premiers juges ont à bon droit tenu compte du parcours de vie difficile de S.________. Ils ont en outre rappelé que les violences qu’il avait subies de la part de G.________ étaient anciennes et que les parties se fréquentaient normalement depuis lors. Quant au résultat des actes du prévenu, ils ont à juste titre observé qu'on se trouvait proche du délit manqué, S.________ n'ayant manifesté aucune intention de s'interrompre et ayant dû être arrêté par une intervention extérieure musclée. S’il est vrai que le plaignant n'a pas été mis en danger de mort par les lésions subies, il a néanmoins souffert de plusieurs blessures à l'intestin, ainsi qu'au dos et à gauche du thorax. Un coup donné quelques centimètres ailleurs aurait pu être fatal. Le geste du prévenu est grave et le motif de l’agression, qui se situe au niveau de l’ego ou d’un complexe d’infériorité, futile. La culpabilité du prévenu doit donc être considérée comme lourde, mais toutefois pas écrasante vu son parcours de vie. Le Tribunal a en outre tenu compte de la diminution de responsabilité et n’a pas méconnu, contrairement à ce qu’affirme le Ministère public, la jurisprudence du Tribunal fédéral qui donne davantage de latitude au juge, en ce sens que la réduction n’est pas nécessairement linéaire. En effet, cette jurisprudence ne signifie pas que la réduction ne doit pas être linéaire ou qu’une réduction linéaire est forcément excessive. A cet égard, le Parquet n’indique d’ailleurs pas en quoi la réduction de peine opérée par les premiers juges, compte tenu de l’impact de l’état mental combinant alcoolisation et retard mental léger, serait excessive. La peine privative de liberté de sept ans infligée à S.________ par les premiers juges est donc adéquate et doit être confirmée. 4. L'appelant conteste le montant de 15'000 fr. alloué à la victime comme réparation du tort moral. Il propose un montant de 10'000 fr., et invoque une faute concomitante du lésé, soit les violences passées et la phrase « calme ton petit, sinon je le frappe ». 4.1 Aux termes de l'art. 49 CO (Loi fédérale complétant le Code civil suisse du 30 mars 1911 ; RS 220), celui qui subit une atteinte illicite à sa personnalité a droit à une somme d'argent à titre de réparation morale, pour autant que la gravité de l'atteinte le justifie et que l'auteur ne lui ait pas donné satisfaction autrement. Selon l’art. 47 CO, le juge peut, en tenant compte de circonstances particulières, allouer à la victime de lésions corporelles ou, en cas de mort d’homme, à la famille une indemnité équitable à titre de réparation morale. L'art. 44 al. 1 CO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 4.2 La possibilité de réduire une indemnité pour tenir compte d’une faute concomitante, résultant de l’art. 44 al. 1 CO, existe également dans le cas d’une indemnité pour tort moral.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Un comportement est la cause naturelle d’un résultat s’il en constitue l’une des conditions sine qua non, c’est-à-dire si, sans lui, le résultat ne se serait pas produit. La constatation du rapport de causalité naturelle relève du fait.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(TF 6B_246/2012 du 10 juillet 2012 consid. 3.2.1 et les références citées). 4.3 En l'occurrence, on ne saurait admettre que G.________ devait s’attendre à provoquer un déchainement de violence tel que celui qui s’est produit le jour des faits lorsqu’il s’est adressé à Z.________ en parlant de S.________. La phrase « calme ton petit ou je vais le frapper » consistait en effet en une menace rhétorique résultant d’un léger agacement, ce que le prévenu a compris puisque ce n’est pas la crainte qui l’a poussé à agir. G.________ ne pouvait par ailleurs s’attendre à être violemment attaqué à l’arme blanche pour avoir utilisé le terme « petit » qui n’avait rien d’une grave injure ; de toute façon il est douteux que même l’auteur d’une grave injure doive s’attendre à une telle réaction. Il en va de même pour les brimades et violences commises des années auparavant – dont on ignore à vrai dire la nature et la gravité. Le montant de 15'000 fr. alloué à G.________ en réparation du tort moral ne prête donc pas le flanc à la critique et doit être confirmé. 5. L'appelant voudrait qu'une partie des frais de la cause soit mise à la charge du plaignant compte tenu de l’historique de leurs relations, subsidiairement laissée à la charge de l’Etat. Les frais ne peuvent cependant être mis à la charge d'une partie plaignante qu'aux conditions de l'art. 427 CPP qui, à l'évidence, ne sont pas remplies. Il n’y a pas non plus lieu de laisser une part des frais à la charge de l'Etat, le prévenu n’ayant bénéficié d’aucun acquittement, même partiel (art. 426 CPP).</w:t>
      </w:r>
    </w:p>
    <w:p>
      <w:r>
        <w:rPr>
          <w:b/>
        </w:rPr>
        <w:t>E. 6</w:t>
      </w:r>
    </w:p>
    <w:p>
      <w:r>
        <w:t>En définitive, l'appel de S.________ et l'appel joint du Ministère public doivent être rejetés et le jugement attaqué confirmé. Me Roxane Mingard, conseil de G.________, a produit une liste d'opérations faisant état de 4 heures et 45 minutes pour la procédure d'appel (P. 90). Pour les débours, un forfait de 50 fr. lui est alloué. Ainsi c'est une indemnité d’un montant de 1'107 fr., TVA, vacation et débours inclus, qui sera allouée. Me Inès Feldmann, défenseur de S.________, a pour sa part produit une liste d'opérations faisant état de 20 heures et 35 minutes pour la procédure d'appel (P. 89). Le temps allégué paraît toutefois excessif pour certaines opérations compte tenu de la connaissance du dossier acquise en première instance. Ainsi, le temps consacré à la préparation de l'audience sera réduit à 4 heures tandis qu'il ne sera pas tenu compte des 2 heures de réserve liées aux opérations du 16 septembre 2016, au vu de la durée de l'audience de jugement. Il convient donc de retenir un total de 16 heures et 30 minutes pour l'activité déployée par Me Inès Feldmann au tarif horaire de 180 fr., et 50 fr. de débours, auxquels s'ajoute la TVA, par 241 fr. 60, ce qui correspond à une indemnité de 3'261 fr. 60. Vu l'issue de la cause, les frais de la procédure d'appel, par 6'858 fr. 60, constitués en l'espèce de l’émolument de jugement, par 2'490 fr. (art. 21 al. 1 et 2 TFIP [tarif des frais de procédure et indemnité en matière pénale du 28 septembre 2010 ; RSV 312.03.1]), et des indemnités allouées à Me Roxane Mingard, par 1'107 fr., et à Me Inès Feldmann, par 3'261 fr. 60, seront mis, par trois quarts, soit par 5'143 fr. 95, à la charge de S.________, qui succombe (art. 428 al. 1 CPP) sur son propre appel, le solde étant laissé à la charge de l'Etat, vu le rejet de l’appel 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