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335 vom 21. Juni 2012</w:t>
      </w:r>
    </w:p>
    <w:p>
      <w:r>
        <w:t>VD Tribunal cantonal, 2012-06-21, FR</w:t>
      </w:r>
    </w:p>
    <w:p>
      <w:r>
        <w:rPr>
          <w:b/>
        </w:rPr>
        <w:t xml:space="preserve">Quelle: </w:t>
      </w:r>
      <w:r>
        <w:t>https://mcp.opencaselaw.ch/entscheid/vd_findinfo_Jug___2016___335</w:t>
      </w:r>
    </w:p>
    <w:p>
      <w:r>
        <w:t>FR: VD_FINDINFO Jug / 2016 / 335 du 21 juin 2012</w:t>
      </w:r>
    </w:p>
    <w:p>
      <w:r>
        <w:t>IT: VD_FINDINFO Jug / 2016 / 335 del 21 giugno 2012</w:t>
      </w:r>
    </w:p>
    <w:p>
      <w:pPr>
        <w:pStyle w:val="Heading2"/>
      </w:pPr>
      <w:r>
        <w:t>Regeste</w:t>
      </w:r>
    </w:p>
    <w:p>
      <w:r>
        <w:t>MOTIF DE RÉVISION | 410 al. 1 let. a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1.2</w:t>
      </w:r>
    </w:p>
    <w:p>
      <w:r>
        <w:t>En l’espèce, lorsque le Ministère public a rendu son ordonnance pénale le 21 juin 2012, il ignorait la décision judiciaire genevoise du 6 juillet 2012 et donc que le prévenu n’était pas l’objet d’une mesure de retrait de permis de conduire lors de son interpellation du 6 février 2011. La connaissance de ce nouveau fait est par conséquent de nature à modifier l’appréciation qui avait été faite par le Parquet lors de la condamnation d’I.________ le 21 juin 2012. Il s’ensuit que la demande de révision de Ministère public doit être admise, les conditions de l’art. 410 al. 1 let. a CPP étant remplies. Le fait que le prévenu ait tardé à informer le Ministère public de l’existence de l’arrêt du 6 juillet 2012 importe peu dès lors que la requête de révision n’est soumise à aucun délai. En effet, le délai de 90 jours pour demander la révision (art. 411 al. 2 CPP) n'est ici pas applicable, la décision postérieure rendue sur les mêmes faits n'était pas une décision pénale au sens de l'art. 410 al. 1 let. b CPP.</w:t>
      </w:r>
    </w:p>
    <w:p>
      <w:r>
        <w:rPr>
          <w:b/>
        </w:rPr>
        <w:t>E. 2</w:t>
      </w:r>
    </w:p>
    <w:p>
      <w:r>
        <w:t>En conséquence, la requête de révision déposée par le Ministère public de l’arrondissement de Lausanne est admise et l’ordonnance du 21 juin 2012 annulée. I.________ est en outre libéré des frais de la procédure pénale de première instance. La condamnation à l'art. 14 LVA est prescrite. Vu l’issue de la cause, les frais de révision, par 440 fr. (art. 21 TFIP [Tarif des frais de procédure et indemnités en matière pénale du 28 septembre 2010 ; RSV 312.03.1], par renvoi de l'art. 22 de cette loi),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