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330 vom 15. April 2016</w:t>
      </w:r>
    </w:p>
    <w:p>
      <w:r>
        <w:t>VD Tribunal cantonal, 2016-04-15, FR</w:t>
      </w:r>
    </w:p>
    <w:p>
      <w:r>
        <w:rPr>
          <w:b/>
        </w:rPr>
        <w:t xml:space="preserve">Quelle: </w:t>
      </w:r>
      <w:r>
        <w:t>https://mcp.opencaselaw.ch/entscheid/vd_findinfo_Jug___2016___330</w:t>
      </w:r>
    </w:p>
    <w:p>
      <w:r>
        <w:t>FR: VD_FINDINFO Jug / 2016 / 330 du 15 avril 2016</w:t>
      </w:r>
    </w:p>
    <w:p>
      <w:r>
        <w:t>IT: VD_FINDINFO Jug / 2016 / 330 del 15 aprile 2016</w:t>
      </w:r>
    </w:p>
    <w:p>
      <w:pPr>
        <w:pStyle w:val="Heading2"/>
      </w:pPr>
      <w:r>
        <w:t>Regeste</w:t>
      </w:r>
    </w:p>
    <w:p>
      <w:r>
        <w:t>CONSTATATION DES FAITS | 398 al. 4 CPP (CH)</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 une contravention à la législation sur la circulation routière a été retenue par le juge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66_1247/2013 du 13 mars 2014 c. 1.2 et les réf. citées).</w:t>
      </w:r>
    </w:p>
    <w:p>
      <w:r>
        <w:rPr>
          <w:b/>
        </w:rPr>
        <w:t>E. 2.1</w:t>
      </w:r>
    </w:p>
    <w:p>
      <w:r>
        <w:t>L’appelant conteste en substance sa condamnation pour violation simple des règles de la circulation routière au motif que l’accident ne s’est pas produit dans « le secteur d’intersection » au moment où il est entré dans le giratoire, mais plus loin, lorsque le cycliste a voulu quitter cet aménagement. Il explique que le giratoire en question avait plusieurs voies. Selon lui, comme le cycliste se trouvait sur la piste intérieure et lui sur la piste extérieure, c’est O.________ qui aurait dû lui céder la priorité, de sorte que ce dernier serait responsable de l’accident.</w:t>
      </w:r>
    </w:p>
    <w:p>
      <w:r>
        <w:rPr>
          <w:b/>
        </w:rPr>
        <w:t>E. 2.2</w:t>
      </w:r>
    </w:p>
    <w:p>
      <w:r>
        <w:t>Comme cela a déjà été relevé, le pouvoir d'examen de l'autorité d'appel est limité dans l'appréciation des faits à ce qui a été établi de manière arbitraire. Le premier juge, qui s'est rendu sur place, a constaté qu'il s'agissait d'un giratoire à une voie, et non à plusieurs voies (jgt, p. 7) et que la route n'était pas large au point de pouvoir laisser deux véhicules automobiles circuler en parallèle (jgt, p. 9). L'appelant fonde son raisonnement sur la prémisse que les faits se sont déroulés dans un giratoire à plusieurs voies. En cela, il s'écarte de l'état de fait retenu par le jugement. Dès lors qu’il ne démontre pas en quoi les constatations du premier juge seraient arbitraires (cf. art. 398 al. 4 CPP), son grief dirigé contre l'état de fait est par conséquent irrecevable.</w:t>
      </w:r>
    </w:p>
    <w:p>
      <w:r>
        <w:rPr>
          <w:b/>
        </w:rPr>
        <w:t>E. 2.3</w:t>
      </w:r>
    </w:p>
    <w:p>
      <w:r>
        <w:t>S’agissant du raisonnement juridique développé dans le mémoire d’appel, dans la mesure où il est fondé sur les dispositions régissant les giratoires à plusieurs voies, il sera rejeté faute de pertinence. On se référa donc au raisonnement retenu par le premier juge qui est complet et adéquat.</w:t>
      </w:r>
    </w:p>
    <w:p>
      <w:r>
        <w:rPr>
          <w:b/>
        </w:rPr>
        <w:t>E. 2.4</w:t>
      </w:r>
    </w:p>
    <w:p>
      <w:r>
        <w:t>L’appelant, qui a conclu à son acquittement, ne conteste pas formellement la quotité de l’amende. Examinée d’office, celle-ci ne prête pas le flanc à la critique. L’amende de 400 fr. prononcée en première instance doit donc être confirmée.</w:t>
      </w:r>
    </w:p>
    <w:p>
      <w:r>
        <w:rPr>
          <w:b/>
        </w:rPr>
        <w:t>E. 3</w:t>
      </w:r>
    </w:p>
    <w:p>
      <w:r>
        <w:t>. En définitive, l’appel de X.________ doit être rejeté et le jugement attaqué confirmé. Vu l'issue de la cause, les frais d’appel, constitués du seul émolument de jugement, par 450 fr. (art. 21 al. 1 TFIP [Tarif des frais de procédure et indemnités en matière pénale du 28 septembre 2010; RSV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