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312 vom 27. Januar 2016</w:t>
      </w:r>
    </w:p>
    <w:p>
      <w:r>
        <w:t>VD Tribunal cantonal, 2016-01-27, FR</w:t>
      </w:r>
    </w:p>
    <w:p>
      <w:r>
        <w:rPr>
          <w:b/>
        </w:rPr>
        <w:t xml:space="preserve">Quelle: </w:t>
      </w:r>
      <w:r>
        <w:t>https://mcp.opencaselaw.ch/entscheid/vd_findinfo_Jug___2016___312</w:t>
      </w:r>
    </w:p>
    <w:p>
      <w:r>
        <w:t>FR: VD_FINDINFO Jug / 2016 / 312 du 27 janvier 2016</w:t>
      </w:r>
    </w:p>
    <w:p>
      <w:r>
        <w:t>IT: VD_FINDINFO Jug / 2016 / 312 del 27 gennaio 2016</w:t>
      </w:r>
    </w:p>
    <w:p>
      <w:pPr>
        <w:pStyle w:val="Heading2"/>
      </w:pPr>
      <w:r>
        <w:t>Regeste</w:t>
      </w:r>
    </w:p>
    <w:p>
      <w:r>
        <w:t>ABUS DE CONFIANCE, PERSONNE PROCHE, ESCROQUERIE, FAUX INTELLECTUEL DANS LES TITRES, FAUX MATÉRIEL DANS LES TITRES | 138 ch. 1 CP, 146 al. 1 CP, 146 al. 3 CP, 251 ch. 1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L’acquittement de N.________ prononcé par les premiers juges en relation avec le cas n°1 n’ayant pas été remis en cause par le Ministère public dans son appel, seuls seront examinés les cas n° 2 et 3 de l’acte d’accusation.</w:t>
      </w:r>
    </w:p>
    <w:p>
      <w:r>
        <w:rPr>
          <w:b/>
        </w:rPr>
        <w:t>E. 3.1</w:t>
      </w:r>
    </w:p>
    <w:p>
      <w:r>
        <w:t>Le Ministère public soutient que l’intimée a été acquittée à tort s’agissant des cas 2 et 3 et que les doutes invoqués par les premiers juges relèvent d’une mauvaise appréciation des preuves qui leur étaient soumises.</w:t>
      </w:r>
    </w:p>
    <w:p>
      <w:r>
        <w:rPr>
          <w:b/>
        </w:rPr>
        <w:t>E. 3.2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4.1</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Selon l'art. 146 al. 3 CP, l'escroquerie commise au préjudice des proches ou des familiers n'est poursuivie que sur plainte.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w:t>
      </w:r>
    </w:p>
    <w:p>
      <w:r>
        <w:rPr>
          <w:b/>
        </w:rPr>
        <w:t>E. 4.2</w:t>
      </w:r>
    </w:p>
    <w:p>
      <w:r>
        <w:t>En l’occurrence, l’expertise graphologique établie le 11 juin 2014 permet d’établir que les spécimens de signatures figurant sous pièces 22/2 sont des fausses signatures réalisées à l’aide de la technique du calque indirecte à partir d’une même signature de J.________. En outre, la signature du courrier adressé à PostFinance le 16 novembre 2010 et la signature du courrier adressé à l’Office d’impôts de Rolle sont des fausses signatures réalises avec le même modus operandi que celui utilisé pour produire les signatures figurant sous pièces 22/2. Or ces pièces sont été saisies chez N.________ lors de la perquisition réalisée le 10 mars 2011. A ce stade de l’appréciation, il existe donc de forts indices que l’intimée a confectionné des ordres de virement les 16 et 30 novembre 2010 en sa faveur, en procédant à l’imitation de la signature de son père par calque. Dans sa plainte du 25 février 2011 (P. 4/2), J.________ est parfaitement clair : il n’a appris que postérieurement au virement que son compte postal avait été clôturé et a demandé copie des courriers et des extraits de comptes, ne reconnaissant pas sa signature notamment sur la lettre du 16 novembre 2010 (P. 4/2 ch. 10). Dès lors, l’hypothèse des premiers juges, selon laquelle c’est le plaignant qui aurait décalqué ses propres signatures est invraisemblable et ne procède pas d’un doute raisonnable. Il résulte au contraire de l’expertise graphologique, du résultat de la perquisition et de l’avantage économique considérable procuré par le procédé que c’est bien l’intimée qui a confectionné les faux litigieux. La victime était le père de la prévenue et revêtait par conséquent la qualité de proche au sens de l’art. 110 al. 1 CPP. La plainte pénale déposée par J.________ dans le cas n°2 est opérante, le décès du plaignant ne la rendant pas caduque et ses proches n’ayant pas la qualité pour la retirer après le décès (ATF 95 IV 161). De toute manière, même à supposer que l’hoirie du plaignant soit habilitée à retirer la plainte, ce retrait n’est plus possible, la succession ayant été répudiée. Aucune plainte pénale n’a été déposée s’agissant du cas n°3. Vu ce qui précède, les infractions d’escroquerie commise au préjudice des proches en concours avec celle de faux dans les titres doivent être retenues à l’encontre de N.________ s’agissant du cas n°2 ci-dessus (cf. consid. Cb supra). Vu l’absence de plainte pénale s’agissant du cas n° 3, seule l’infraction de faux dans les titres sanctionnera la prénommée.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w:t>
      </w:r>
    </w:p>
    <w:p>
      <w:r>
        <w:rPr>
          <w:b/>
        </w:rPr>
        <w:t>E. 5.2</w:t>
      </w:r>
    </w:p>
    <w:p>
      <w:r>
        <w:t>A charge, il faut prendre en considération l’ampleur de l’enrichissement illégitime et à décharge les circonstances familiales particulières dans lesquelles les infractions sont intervenues. Au regard de la culpabilité de N.________ et de sa situation personnelle, une peine pécuniaire de 300 jours-amende à 10 fr. est adéquate pour sanctionner le comportement fautif de N.________. Cette dernière bénéficiera du sursis dont elle remplit les conditions. La durée du sursis sera de deux ans.</w:t>
      </w:r>
    </w:p>
    <w:p>
      <w:r>
        <w:rPr>
          <w:b/>
        </w:rPr>
        <w:t>E. 6</w:t>
      </w:r>
    </w:p>
    <w:p>
      <w:r>
        <w:t>En définitive, l’appel du Ministère public doit être admis et le jugement attaqué réformé dans le sens des considérants. L’indemnité de défenseur d’office de Me Angelo Ruggiero sera arrêtée, sur la base de la liste des opérations produites (P. 102), à 1'506 fr. 60, TVA et débours compris. Vu l'issue de la cause, les frais de la procédure d'appel, par 3'006 fr. 60, constitués en l’espèce de l'émolument d’arrêt, par 1’500 fr. (art. 21 al. 1 et 2 TFIP [Tarif des frais de procédure et indemnités en matière pénale du 28 septembre 2010; RSV 312.03.1]) ainsi que de l’indemnité allouée au défenseur d'office de l’intimée, seront mis à la charge de celle-ci. N.________ ne sera tenue de rembourser à l’Etat les indemnités allouées à son défenseur d’office pour la première et la deuxième instance que lorsque sa situation financière le permettra. En application de l’art. 83 CPP, le dispositif doit être rectifié d’office à son chiffre II,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