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300 vom 6. April 2016</w:t>
      </w:r>
    </w:p>
    <w:p>
      <w:r>
        <w:t>VD Tribunal cantonal, 2016-04-06, FR</w:t>
      </w:r>
    </w:p>
    <w:p>
      <w:r>
        <w:rPr>
          <w:b/>
        </w:rPr>
        <w:t xml:space="preserve">Quelle: </w:t>
      </w:r>
      <w:r>
        <w:t>https://mcp.opencaselaw.ch/entscheid/vd_findinfo_Jug___2016___300</w:t>
      </w:r>
    </w:p>
    <w:p>
      <w:r>
        <w:t>FR: VD_FINDINFO Jug / 2016 / 300 du 6 avril 2016</w:t>
      </w:r>
    </w:p>
    <w:p>
      <w:r>
        <w:t>IT: VD_FINDINFO Jug / 2016 / 300 del 6 aprile 2016</w:t>
      </w:r>
    </w:p>
    <w:p>
      <w:pPr>
        <w:pStyle w:val="Heading2"/>
      </w:pPr>
      <w:r>
        <w:t>Regeste</w:t>
      </w:r>
    </w:p>
    <w:p>
      <w:r>
        <w:t>VIOLATION DU DEVOIR D'ASSISTANCE OU D'ÉDUCATION, VIOLENCE DOMESTIQUE | 219 CP</w:t>
      </w:r>
    </w:p>
    <w:p>
      <w:pPr>
        <w:pStyle w:val="Heading2"/>
      </w:pPr>
      <w:r>
        <w:t>Erwägungen</w:t>
      </w:r>
    </w:p>
    <w:p>
      <w:r>
        <w:rPr>
          <w:b/>
        </w:rPr>
        <w:t>E. 1</w:t>
      </w:r>
    </w:p>
    <w:p>
      <w:r>
        <w:t>Interjetés dans les formes et délai légaux par des parties ayant qualité pour recourir contre le jugement du tribunal de première instance qui a clos la procédure (art. 398 al. 1 CPP [Code de procédure pénale suisse du 5 octobre 2007 ; RS 312.0]), les appels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L’appelante A.H.________ invoque une violation de l'art. 219 CP, ainsi que l’excès et l’abus du pouvoir d’appréciation de même que la constatation erronée des faits au sens de l’art. 398 al. 3 CPP. Elle admet que B.H.________ a été exposée aux disputes violentes et très régulières du couple parental, mais conteste que de tels faits puissent fonder une violation du devoir d’assistance et d’éducation. Elle soutient par ailleurs que le tribunal de première instance a faussement retenu la présence, sur l’enfant, de lésions infligées par un tiers, avant d’attribuer de manière incohérente la responsabilité desdites lésions aux deux parents. De surcroît, l’appelante reproche au premier juge d’avoir retenu qu’elle n’avait pas collaboré avec les intervenants sociaux. Enfin, A.H.________ estime qu’aucun élément ne permet d’affirmer que sa fille aurait couru un danger relatif à son développement physique ou psychique. L’appelant N.________ se plaint lui aussi d’une constatation erronée des faits par le Tribunal de police ainsi que d’une violation de l’art. 219 CP, dont les éléments objectifs ne seraient pas réalisés. Il invoque des griefs pour partie semblables à ceux développés par sa coappelante, et conteste en outre que B.H.________ ait été exposée à des disputes violentes et quotidiennes du couple parental.</w:t>
      </w:r>
    </w:p>
    <w:p>
      <w:r>
        <w:rPr>
          <w:b/>
        </w:rPr>
        <w:t>E. 3.2</w:t>
      </w:r>
    </w:p>
    <w:p>
      <w:r>
        <w:t>Selon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S’il a agi par négligence, la peine pourra être une amende au lieu d’une peine privative de liberté ou d’une peine pécuniaire (al. 2). Cette disposition protège le développement physique et psychique du mineur, soit d’une personne âgée de moins de 18 ans (ATF 126 IV 136 consid. 1b ; ATF 125 IV 64 consid. 1a). Pour que l’art. 219 CP soit applicable, il faut d’abord que l’auteur ait eu envers une personne mineure un devoir d’assistance, c’est-à-dire d’assurer le développement – sur le plan corporel, spirituel et psychique – du mineur. Ce devoir et, partant, la position de garant de l’auteur peut résulter de la loi, d’une décision de l’autorité ou d’un contrat, voire d’une situation de fait. Revêtent notamment une position de garant les parents naturels ou adoptifs, le tuteur, le maître d’école, etc. (ATF 125 IV 64 consid. 1a). Il faut ensuite que l’auteur ait violé son devoir d’assistance ou d’éducation ou qu’il ait manqué à ce devoir. Le comportement délictueux peut donc consister en une action ou une omission. Dans le premier cas, l'auteur viole positivement son devoir, par exemple en maltraitant le mineur ou en l'exploitant par un travail excessif ou épuisant ; dans le second cas, l'auteur manque passivement à son obligation, par exemple en abandonnant l'enfant, en négligeant de lui donner des soins ou en ne prenant pas, face à un danger, les mesures de sécurité qui s'imposent (ATF 125 IV 64 consid. 1a).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Il n’est donc pas nécessaire que le comportement de l’auteur aboutisse à un résultat, c’est-à-dire à une atteinte au développement physique ou psychique du mineur, la simple possibilité d’une atteinte ne suffisant cependant pas. Il faut que cette atteinte apparaisse à tout le moins vraisemblable dans le cas concret (TF 6B_993/2008 du 20 mars 2009 consid. 2.1 ; TF 6B_252/2008 du 23 juin 2008 consid. 4.1 ; ATF 126 IV 136 c. 1b). Enfin, la réalisation de l’infraction suppose l’existence d’un lien de causalité entre la violation du devoir d’assistance ou d’éducation et la mise en danger du développement physique ou psychique du mineur (Dupuis et al. [éd.], Petit Commentaire du Code pénal, Bâle 2012, n. 3 ad art. 219 CP).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Il ne faut à cet égard pas oublier l'existence des art. 123 ch. 2 al. 2 et 126 al. 2 CP qui prévoient une protection particulière pour l'enfant sur lequel sont commises des lésions corporelles simples ou des voies de fait. L'art. 219 CP ne devra donc pas être retenu dans tous les cas d'atteinte à l'intégrité corporelle, à la liberté ou à l'intégrité sexuelle.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(TF 6B_457/2013 du 29 octobre 2013 consid. 1.2 ; TF 6B_539/2010 du 30 mai 2011 consid. 4.2). Du point de vue subjectif, l’auteur peut avoir agi intentionnellement, auquel cas le dol éventuel suffit (ATF 125 IV 64 consid. 1a), ou par négligence (art. 219 al. 2 CP). Dans cette dernière hypothèse, le juge a la faculté, mais non l’obligation, de prononcer une amende au lieu d’une peine privative de liberté ou d’une peine pécuniaire. Pour déterminer laquelle de ces sanctions doit être prononcée, la gravité de la faute commise est le critère essentiel à prendre en considération (ATF 125 IV 64 consid. 2).</w:t>
      </w:r>
    </w:p>
    <w:p>
      <w:r>
        <w:rPr>
          <w:b/>
        </w:rPr>
        <w:t>E. 4.1</w:t>
      </w:r>
    </w:p>
    <w:p>
      <w:r>
        <w:t>Le tribunal de première instance a retenu que A.H.________ et N.________ s’étaient rendus coupables de violation du devoir d’assistance et d’éducation en raison de leur refus de collaborer avec les intervenants sociaux, d’une part, eu égard aux maltraitances physiques infligées à B.H.________, d’autre part. Enfin, le tribunal a retenu que cette enfant avait été régulièrement exposée aux fortes disputes de ses parents, empruntes de violence tant verbale que physique. Il a en revanche libéré les deux appelants de l’accusation de lésions corporelles simples qualifiées, en dépit des traces de lésions constatées sur le corps de B.H.________, estimant qu’il était impossible, sur la base du dossier et des déclarations contradictoires de A.H.________ et N.________, d’attribuer celles-ci à l’un des parents plutôt qu’à l’autre, ou encore aux deux.</w:t>
      </w:r>
    </w:p>
    <w:p>
      <w:r>
        <w:rPr>
          <w:b/>
        </w:rPr>
        <w:t>E. 4.2</w:t>
      </w:r>
    </w:p>
    <w:p>
      <w:r>
        <w:t>L’appelante A.H.________ conteste tout d’abord avoir refusé de collaborer avec les intervenants sociaux. Il ressort pourtant du dossier que les deux parents de B.H.________ ont causé de fréquentes difficultés, notamment en s’en prenant au personnel de l’OTG. Concernant ces accès de violence, l’appelante n’était pas en reste, le témoin T.________ ayant même précisé : « Ce n’était pas que N.________ mais également A.H.________. Ils s’en prenaient énormément au personnel et à moi-même » (PV aud. 5, ll. 118 s.). Cependant, aucun élément dans la présente cause n’appuie l’existence d’un lien de causalité entre le refus de collaborer avec les autorités spécialisées dans la protection de l’enfance et une mise en danger concrète de B.H.________. Il ne ressort en effet pas de l’instruction que les difficultés causées par les appelants dans leurs rapports avec les divers intervenants sociaux, notamment les esclandres dans les locaux de l’OTG, les absences de N.________ aux rendez-vous appointés ou le refus des aides proposées, auraient directement menacé le développement physique ou psychique de l’enfant. C’est donc à tort que le tribunal de première instance a retenu que le défaut de collaboration constaté chez les appelants était constitutif d’une infraction à l’art. 219 CP.</w:t>
      </w:r>
    </w:p>
    <w:p>
      <w:r>
        <w:rPr>
          <w:b/>
        </w:rPr>
        <w:t>E. 4.3</w:t>
      </w:r>
    </w:p>
    <w:p>
      <w:r>
        <w:t>Les appelants relèvent également avec raison que le Tribunal de police les a libérés de l’accusation de lésions corporelles simples qualifiées, en admettant qu’il était impossible de déterminer dans quelles circonstances, à quelle époque et par qui les lésions constatées sur le corps de B.H.________ avaient été causées (jgt, p. 27), tout en estimant par ailleurs que lesdites lésions étaient le fruit du comportement inadéquat de l’un ou l’autre des parents, voire des deux (jgt, p. 31). En effet, les motifs qui ont poussé le premier juge à mettre A.H.________ et N.________ au bénéfice du doute s’agissant de l’origine et de la nature des lésions infligées à leur fille devaient semblablement le conduire à écarter ces éléments concernant l’infraction de violation du devoir d’assistance et d’éducation. Ainsi, vu l’absence de preuves permettant d’attribuer les lésions corporelles présentées par B.H.________ à l’un ou l’autre de ses parents, d’éventuelles maltraitances physiques de la part des appelants ne peuvent pas davantage être retenues à leur charge. Une infraction à l’art. 219 CP n’est donc, pour ces faits, pas réalisée.</w:t>
      </w:r>
    </w:p>
    <w:p>
      <w:r>
        <w:rPr>
          <w:b/>
        </w:rPr>
        <w:t>E. 4.4</w:t>
      </w:r>
    </w:p>
    <w:p>
      <w:r>
        <w:t>Enfin, il reste à la Cour de céans à examiner si les disputes auxquelles les appelants ont exposé B.H.________ entre janvier et mai 2012 fondent une condamnation sur la base de l’art. 219 CP ou si, comme le soutiennent A.H.________ et N.________, leur fréquence et leur intensité ne s’avéraient pas suffisantes pour mettre en danger le développement physique ou psychique de leur fille.</w:t>
      </w:r>
    </w:p>
    <w:p>
      <w:r>
        <w:rPr>
          <w:b/>
        </w:rPr>
        <w:t>E. 4.4.1</w:t>
      </w:r>
    </w:p>
    <w:p>
      <w:r>
        <w:t>Les appelants ne contestent pas avoir alors eu, en leur qualité de parents, un devoir d’assistance et d’éducation envers B.H.________ et avoir dû assumer une position de garant à son égard.</w:t>
      </w:r>
    </w:p>
    <w:p>
      <w:r>
        <w:rPr>
          <w:b/>
        </w:rPr>
        <w:t>E. 4.4.2</w:t>
      </w:r>
    </w:p>
    <w:p>
      <w:r>
        <w:t>Les disputes du couple parental et le climat de conflit perpétuel qui a régné dans le foyer durant plusieurs mois ont de toute évidence mis en danger le développement de B.H.________. En effet, lorsque cette dernière a été placée en urgence le 14 mai 2012, sa mère d’accueil a immédiatement relevé des indices de troubles ou de souffrances. L’enfant pleurait beaucoup, refusait de s’alimenter, s’est placée en position fœtale dans son lit lorsqu’elle a été couchée. En outre, elle ne se tenait pas assise, se cambrait lors du change et fuyait le contact oculaire en bougeant la tête dans tous les sens. Elle s’est par la suite ouverte à la relation, mais des séances de physiothérapie ont néanmoins été nécessaires pour stimuler son apprentissage (cf. P. 24, p. 17). Ces indices de perturbations dans le comportement et de troubles dans le développement ne sauraient être attribués au seul placement de l’enfant dans une famille d’accueil, ainsi que le soutient l’appelante. En effet, ces signes n’ont pas été décrits comme insignifiants ou banals dans un cas d’accueil, mais au contraire rapportés de manière détaillée par la pédopsychiatre du CHUV, comme les conséquences de l’environnement délétère duquel sortait B.H.________. En outre, selon l’expérience de la vie, les innombrables cris, disputes, coups et autres tensions qui rythmaient le quotidien de l’enfant sont objectivement de nature à perturber le développement d’un bébé qui a besoin de calme, de douceur et d’attention. Le fait que l’infirmière de la petite enfance n’ait pas signalé un état préoccupant chez B.H.________ ne saurait infirmer l’existence de troubles dans son comportement ou son développement, ainsi que le prétend A.H.________. Cette dernière a d’ailleurs elle-même admis que sa fille était souvent en pleurs et énervée, et que N.________ n’en tenait pas compte lors des crises de violence (lettre du Tuteur général du 9 juillet 2012, sous P. 13, p. 2 in fine). Afin de contester la réalisation d’une infraction à l’art. 219 CP, l’appelante s’appuie enfin sur un arrêt de la Chambre pénale du Tribunal cantonal du canton de Fribourg (arrêt 502 2015 20 du 9 novembre 2015), ayant confirmé le classement d’une procédure pénale ouverte en la matière. Dans cette affaire, le tribunal a considéré que le conflit qui divisait les parents dans le cadre de leur séparation – et qui avait donné lieu à quelques fortes altercations entre ceux-ci ainsi qu’à des souffrances psychologiques chez les enfants – ne constituait pas un élément propre à soupçonner une violation du devoir d’assistance ou d’éducation et s’avérait fréquent lors de ruptures houleuses. Toutefois, ainsi que souligné précédemment, A.H.________ et N.________ ne se sont pas seulement disputés occasionnellement devant leur fille en raison d’une séparation pénible, mais ont bien plutôt fait de B.H.________ l’objet récurrent de leurs altercations, tout en imposant à cette enfant un environnement constamment empreint de violence et de brutalité n’ayant rien d’habituel, même en cas de conflits conjugaux ou de ruptures difficiles. La Cour d’appel pénale du Tribunal cantonal vaudois a d’ailleurs déjà, par le passé, admis qu’un conflit parental massif – à l’occasion duquel les enfants étaient régulièrement exposés à des disputes, vociférations et intimidations – pouvait constituer une violation du devoir d’assistance et d’éducation de nature à mettre en danger le développement d’un mineur (CAPE 13 novembre 2013/228 consid. 3.2.3). Les manquements répétés des appelants à leur devoir d’assistance et d’éducation, soit l’exposition de leur fille à de continuelles et violentes disputes, ont donc clairement mis en danger l’enfant B.H.________, en risquant vraisemblablement de causer à celle-ci de durables séquelles d'ordre psychique.</w:t>
      </w:r>
    </w:p>
    <w:p>
      <w:r>
        <w:rPr>
          <w:b/>
        </w:rPr>
        <w:t>E. 4.4.3</w:t>
      </w:r>
    </w:p>
    <w:p>
      <w:r>
        <w:t>Enfin, c’est à juste titre que le tribunal de première instance a retenu que les appelants avaient agi intentionnellement, à tout le moins par dol éventuel. Le climat dangereux pour le développement de leur fille, résultant de leur intense conflit, ne pouvait en effet leur échapper après les interventions des services de l’OTG, A.H.________ ayant d’ailleurs finalement elle-même fait appel à T.________ car elle craignait pour l’intégrité physique et psychique de sa fille. Il découle de ce qui précède que les appelants se sont bien rendus coupables d’infraction à l’art. 219 CP. Les appels de A.H.________ et N.________ doivent en conséquence être rejetés sur ce point.</w:t>
      </w:r>
    </w:p>
    <w:p>
      <w:r>
        <w:rPr>
          <w:b/>
        </w:rPr>
        <w:t>E. 5</w:t>
      </w:r>
    </w:p>
    <w:p>
      <w:r>
        <w:t>Les appelants ne contestent ni le genre, ni la quotité de la peine. Il y a cependant lieu de statuer d'office sur ces points, dès lors que A.H.________ et N.________ ont conclu principalement à leur acquittement.</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consid. 4.2.2).</w:t>
      </w:r>
    </w:p>
    <w:p>
      <w:r>
        <w:rPr>
          <w:b/>
        </w:rPr>
        <w:t>E. 5.2</w:t>
      </w:r>
    </w:p>
    <w:p>
      <w:r>
        <w:t>Les appelants se sont rendus coupables de violation du devoir d'assistance ou d'éducation. Leur culpabilité est importante. A charge, la Cour de céans retiendra que A.H.________ et N.________ ont exposé leur fille à des disputes d’une violence remarquable, sans jamais se soucier des dommages que pouvaient causer de tels échanges à une enfant en bas âge. Ces comportements s’avèrent d’autant plus inacceptables que les appelants venaient tout juste de récupérer la garde de B.H.________ et auraient dû vouer un soin particulier au développement ce celle-ci dans un environnement calme et sécurisant. Pourtant, incapables de contrôler leurs accès de violence, les appelants ont immédiatement plongé B.H.________ dans un climat traumatisant. Enfin, loin d’avoir mis à profit l’aide qui leur était offerte par l’OTG afin d’améliorer leur situation, les appelants ont relégué l’intérêt de leur enfant derrière leurs propres débordements, tout en adoptant une attitude délibérément agressive à l’égard des intervenants sociaux. La gravité de ces faits n’apparaît de toute évidence pas encore clairement aux appelants, qui minimisent encore aujourd’hui la violence de leurs altercations et les conséquences qu’ont pu avoir celles-ci sur B.H.________. En définitive, même si certains comportements considérés comme délictueux par le tribunal de première instance doivent être écartés (cf. supra, §§ 4.2 et 4.3), la culpabilité de A.H.________ et N.________ reste considérable. A décharge, la Cour de céans retiendra que les appelants tentent désormais d’entretenir une relation régulière avec leur fille, en observant les consignes qui leurs sont imposées par les structures d’accueil. Tous les deux ont par ailleurs eu une existence marquée par des difficultés notables et qui se trouve aujourd’hui affectée par l’absence de B.H.________. Enfin, il convient de relever que les faits qui leur sont reprochés sont anciens, remontant au début de l’année 2012. Au regard de l’ensemble de ces éléments, la peine pécuniaire de 20 jours-amende, à 30 fr. le jour-amende, est adéquate. L'octroi du sursis et le délai d’épreuve de deux ans doivent également être confirmés.</w:t>
      </w:r>
    </w:p>
    <w:p>
      <w:r>
        <w:rPr>
          <w:b/>
        </w:rPr>
        <w:t>E. 6</w:t>
      </w:r>
    </w:p>
    <w:p>
      <w:r>
        <w:t>En définitive, les appels formés par A.H.________ et N.________ doivent être rejetés et le jugement rendu le 6 avril 2016 par le Tribunal de police de l’arrondissement de la Broye et du Nord vaudois confirmé. Sur la base de la liste des opérations produite par Me Joëlle Druey, défenseur d’office de A.H.________ (P. 94), et dont il n’y a pas lieu de s’écarter, une indemnité pour la procédure d'appel d'un montant de 1'536 fr., TVA et débours inclus, lui sera allouée. Elle sera mise à la charge de l’appelante, qui succombe. Sur la base de la liste des opérations produite par Me Amandine Torrent, défenseur d’office de N.________ (P. 93), et dont il n’y a pas lieu de s’écarter, une indemnité pour la procédure d'appel d'un montant de 1'715 fr. 05, TVA et débours inclus, lui sera allouée. Elle sera mise à la charge de l’appelant, qui succombe. Vu l’issue de la cause, l’émolument du jugement, par 2'820 fr. (art. 21 al. 1 et 2 TFIP [Tarif des frais de procédure et indemnités en matière pénale du 28 septembre 2010 ; RSV 312.03.1]), sera mis à la charge des appelants, chacun devant en assumer la moitié. Les frais d’appel comprennent en outre l’indemnité en faveur du conseil d'office de B.H.________ pour la procédure d'appel. Celle-ci sera arrêtée à 1'296 fr., TVA et débours inclus, ce qui correspond à six heures d’activité auxquelles il convient d’appliquer le tarif horaire de 180 fr., à quoi il faut ajouter une vacation à 120 fr., selon la liste des opérations communiquée oralement à l’audience du 15 septembre 2016 par Me Trimor Mehmetaj pour le compte de Me Nicolas Rouiller. Cette indemnité sera mise à la charge des appelants, chacun devant en assumer la moitié. A.H.________ et N.________ ne seront tenus de rembourser à l’Etat le montant des indemnités en faveur de leur défenseur d'office et en faveur du conseil d’office Nicolas Rouiller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