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299 vom 11. Februar 2016</w:t>
      </w:r>
    </w:p>
    <w:p>
      <w:r>
        <w:t>VD Tribunal cantonal, 2016-02-11, FR</w:t>
      </w:r>
    </w:p>
    <w:p>
      <w:r>
        <w:rPr>
          <w:b/>
        </w:rPr>
        <w:t xml:space="preserve">Quelle: </w:t>
      </w:r>
      <w:r>
        <w:t>https://mcp.opencaselaw.ch/entscheid/vd_findinfo_Jug___2016___299</w:t>
      </w:r>
    </w:p>
    <w:p>
      <w:r>
        <w:t>FR: VD_FINDINFO Jug / 2016 / 299 du 11 février 2016</w:t>
      </w:r>
    </w:p>
    <w:p>
      <w:r>
        <w:t>IT: VD_FINDINFO Jug / 2016 / 299 del 11 febbraio 2016</w:t>
      </w:r>
    </w:p>
    <w:p>
      <w:pPr>
        <w:pStyle w:val="Heading2"/>
      </w:pPr>
      <w:r>
        <w:t>Regeste</w:t>
      </w:r>
    </w:p>
    <w:p>
      <w:r>
        <w:t>ESCROQUERIE, TENTATIVE{DROIT PÉNAL}, LEASING | 146 CP, 22 CP</w:t>
      </w:r>
    </w:p>
    <w:p>
      <w:pPr>
        <w:pStyle w:val="Heading2"/>
      </w:pPr>
      <w:r>
        <w:t>Erwägungen</w:t>
      </w:r>
    </w:p>
    <w:p>
      <w:r>
        <w:rPr>
          <w:b/>
        </w:rPr>
        <w:t>E. 1.1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X.________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Niggli/Heer/Wiprächtiger [éd.], Basler Kommentar, Schweizerische Strafprozess-ordnung, Jugendstrafprozessordnung,</w:t>
      </w:r>
    </w:p>
    <w:p>
      <w:r>
        <w:rPr>
          <w:b/>
        </w:rPr>
        <w:t>E. 2</w:t>
      </w:r>
    </w:p>
    <w:p>
      <w:r>
        <w:t>L’appelant fait tout d’abord valoir une constatation incomplète des faits. Il considère que c’est à tort que les premiers juges ont retenu qu’il était propriétaire du véhicule litigieux dès lors qu’il ne détenait celui-ci qu’à titre de preneur de leasing. Il indique au demeurant avoir signé une cession d’assurance en faveur de C.________ SA et affirme ainsi que, si le véhicule avait fait l’objet d’un dommage, il lui aurait été impossible de percevoir une indemnité dès lors que la somme aurait été versée au donneur de leasing. Il précise d’ailleurs n’en avoir reçue aucune à la suite du sinistre du 25 septembre 2011.</w:t>
      </w:r>
    </w:p>
    <w:p>
      <w:r>
        <w:rPr>
          <w:b/>
        </w:rPr>
        <w:t>E. 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 Commentaire romand, Code de procédure pénale suisse, Bâle 2011, n. 19 ad art. 398 CPP).</w:t>
      </w:r>
    </w:p>
    <w:p>
      <w:r>
        <w:rPr>
          <w:b/>
        </w:rPr>
        <w:t>E. 2.2</w:t>
      </w:r>
    </w:p>
    <w:p>
      <w:r>
        <w:t>En l’occurrence, il est établi que X.________ a signé, le 19 septembre 2008, un contrat de leasing avec C.________ SA afin de financer, au moins partiellement, l’achat du véhicule Lamborghini Murcielago qu’il convoitait. Selon les explications qu’il a données le 29 novembre 2011 lors de sa première audition par la police, X.________ a acheté cette voiture neuve pour un montant de quelque 535'000 fr, 230'000 fr. faisant l’objet d’une mise de départ et le solde donnant lieu à un contrat de leasing pour un loyer mensuel d’environ 3'500 francs. Il affirmait à l’époque que la valeur résiduelle à l’issue du contrat devait être de 180'000 francs (cf. PV aud. 2 ad R6). Dans son audition suivante, le 23 août 2012, le prévenu a confirmé avoir acquis sa Lamborghini en partie sous forme d’un leasing dont les mensualités s’élevaient à 3'600 fr., tandis qu'une valeur résiduelle de 170'000 fr. devait subsister au terme du contrat, à fin août 2011 (recte : 2012) (PV aud. 12, ad R6). L’ensemble de ces éléments, même s’il y a quelques variations dans les chiffres, ressort également du contrat de leasing produit par C.________ SA (P. 115/1). Le contrat de leasing a pour caractéristique une relation triangulaire entre le donneur de leasing, le preneur de leasing et le tiers-fournisseur (Christoph Müller, Contrats de droit suisse, Berne 2102, n. 2896). Comme le souligne l’appelant dans son mémoire, il est vrai que, dans un tel contrat, la propriété de la chose reste acquise au donneur de leasing, et qu'elle constitue pour lui une garantie, le preneur de leasing étant considéré comme le « propriétaire économique » de la chose, étant donné qu’il assume en principe les risques et les charges liés au bien (Christoph Müller, op. cit. nn. 2904 ss ; Pierre Tercier/Pascal G. Favre, Les contrats spéciaux, 4 e éd. Zürich 2009, nn. 7779 ss). Ce qui est toutefois déterminant en l’espèce est de savoir si l'appelant pouvait espérer bénéficier personnellement de prestations d’assurance, servies par l'assureur casco, en cas de sinistre total du véhicule. Or, quand bien même X.________ a signé une cession d’assurance en faveur de C.________ SA, il n’en demeure pas moins qu’en cas de dommage total, les prestations d’assurance éventuellement supérieures aux prétentions du donneur de leasing revenaient au preneur de leasing, qui avait personnellement payé une partie du prix d’acquisition par une mise de fond importante. Le montant de la cession accordée au donneur de leasing était ainsi en tous les cas limité au montant de la créance de ce dernier, X.________ bénéficiant d’une créance envers C.________ SA pour le surplus. On relèvera au demeurant que le prévenu a tenté, sans succès, de revendre son véhicule, ce qui démontre bien que le leasing n’excluait nullement pour lui un intérêt économique à l’aliénation de son véhicule ou à la perception de prestations d’assurance en cas de sinistre total. Ces précisions étant apportées, il y a lieu de relever que la constatation des faits opérée par les premiers juges ne porte pas le flanc à la critique. Mal fondé, le moyen ne peut donc qu’être rejeté.</w:t>
      </w:r>
    </w:p>
    <w:p>
      <w:r>
        <w:rPr>
          <w:b/>
        </w:rPr>
        <w:t>E. 3</w:t>
      </w:r>
    </w:p>
    <w:p>
      <w:r>
        <w:t>L’appelant fait également valoir que les premiers juges auraient retenu à tort qu’il avait donné l’ordre à H.________ de détruire sa Lamborghini.</w:t>
      </w:r>
    </w:p>
    <w:p>
      <w:r>
        <w:rPr>
          <w:b/>
        </w:rPr>
        <w:t>E. 3.1</w:t>
      </w:r>
    </w:p>
    <w:p>
      <w:r>
        <w:t>Dans son jugement, le tribunal a décrit les circonstances dans lesquelles le projet de faire disparaître le véhicule de l’appelant a été évoqué avec U.________ et H.________ : dans un premier temps lors d’un séjour en Croatie en juillet 2011, puis ultérieurement pour décider de la destruction du véhicule et, enfin, lors d’une rencontre des trois protagonistes dans un établissement public du Flon au début septembre 2011, X.________ ayant à cette occasion ordonné la destruction de son véhicule à H.________, U.________ ayant quant à lui fait pression sur ce dernier pour une intervention rapide de sa part (cf. jgt, pp. 35 et 36, ch.6). L’appelant indique pour sa part qu’il s’est borné à solliciter H.________ pour la vente de son véhicule et que c’est U.________, et lui seul, qui aurait donné l’ordre de détruire la Lamborghini et, partant, aurait joué un rôle crucial dans le déroulement des événements. Se prévalant du fait qu’U.________ a bénéficié d’une ordonnance de classement, ce qui tendrait à démontrer que sa version des faits – qui exculpe X.________ – a été retenue, l’appelant ne voit pas pour quelles raisons il n’a pas été disculpé lui aussi. Il en déduit que les faits de la cause ont sur ce point été établis de manière inexacte.</w:t>
      </w:r>
    </w:p>
    <w:p>
      <w:r>
        <w:rPr>
          <w:b/>
        </w:rPr>
        <w:t>E. 3.2</w:t>
      </w:r>
    </w:p>
    <w:p>
      <w:r>
        <w:t>En l’occurrence, le Ministère public a, par ordonnance du 9 avril 2015, ordonné le classement de la procédure pénale dirigée notamment contre U.________ pour incendie volontaire et escroquerie, à la suite des événements du 25 septembre 2011. Le Procureur a souligné à cet égard que l’intéressé faisait partie d’un groupe de personnes mises en cause au début de l’enquête et entendues à titre de prévenus, mais que l’instruction avait démontré qu’aucune d’elles n’était impliquée dans l’incendie de la Lamborghini. L’acte d’accusation du 6 juin 2015, dirigé notamment contre X.________ et H.________, retient que des discussions ont eu lieu en juillet 2011 en Croatie entre ces deux prévenus et U.________, l’appelant souhaitant faire disparaître son véhicule et H.________ lui indiquant qu’il pouvait soit le vendre, soit le faire détruire dans un accident fictif. A une date indéterminée durant l’été 2011, X.________ lui a donné l’instruction de détruire sa Lamborghini, faute d’avoir pu la vendre au prix souhaité, et lui a confié son véhicule à cette fin durant son propre voyage à l’étranger. Contrairement à ce qu’affirme l’appelant, l’implication ou la non-implication d’U.________ n’est pas déterminante dans le cas particulier, dès lors que la preuve de l’ordre de destruction donné par l’appelant résulte d’autres éléments de fait, qui ont forgé la conviction du tribunal sur ce point : - X.________ a en effet été clairement mis en cause par H.________ qui, lors des débats de première instance, a déclaré notamment : « Il a été discuté et convenu que, puisque je ne parvenais pas à vendre le véhicule, on me chargeait de le détruire. U.________ a pris une part active à cette discussion en faisant passablement pression sur moi. X.________ était toutefois présent et a parfaitement accepté que je détruise sa voiture » (cf. jgt, p. 17). H.________ avait au demeurant exposé une version similaire des faits durant l’enquête (cf. PV aud. 6, p. 13 ss ; PV aud. 19) ; - l’appelant est également mis en cause de manière indirecte par R.________, lequel a été mis au courant par H.________ (cf. jgt, p. 19) ; - la facilité avec laquelle l’appelant a confié son véhicule d’une grande valeur durant plusieurs semaines à un tiers qu’il connaissait à peine, au lieu de passer par un canal plus sûr, s’il entendait véritablement vendre licitement son engin ; - l’absence de tout mobile à l’incendie criminel, si l’on exclut l’intérêt économique du détenteur ; - l’absence insolite de réaction de surprise de l’appelant, puis d’émotion, lorsqu’il a appris l’endommagement de sa voiture par le feu (cf. PV aud. 12, ad D15 ; P. 55 du dossier principal, p. 27 s.). On relèvera également qu’entendu le 21 août 2012 par la police judiciaire, U.________ a rapporté les termes de la discussion qui avait eu lieu en Croatie et lors de laquelle X.________ lui avait demandé « est-ce que tu connais quelqu’un qui peut faire disparaître des véhicules ? » (PV. aud. 9, p. 7), ce qui tend à démontrer que l’appelant envisageait bien une escroquerie à l’assurance, étant précisé que, dans une audition ultérieure, U.________ a donné une version nuancée de cette conversation, limitant son propre rôle à celui d’un interprète (PV aud. 21 ll. 65 ss). Au vu de ce qui précède, la conviction que s’est forgée le tribunal de première instance ne prête pas le flanc à la critique et doit être partagée, sans que la libération d’U.________ des accusations pesant sur lui ne suscite des doutes quant à la volonté de l’appelant de faire provoquer un sinistre, par homme de main interposé, en vue de percevoir illicitement des prestations d’assurance. Mal fondé, le moyen ne peut donc qu’être rejeté.</w:t>
      </w:r>
    </w:p>
    <w:p>
      <w:r>
        <w:rPr>
          <w:b/>
        </w:rPr>
        <w:t>E. 3.2.1</w:t>
      </w:r>
    </w:p>
    <w:p>
      <w:r>
        <w:t>; TF 6B_353/2008 du 30 mai 2008 consid.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4</w:t>
      </w:r>
    </w:p>
    <w:p>
      <w:r>
        <w:t>L’appelant invoque ensuite une fausse application de l’art. 146 CP dans le cas particulier. Il soutient que, même s'il avait souhaité faire subir à son véhicule un dommage total, il n'aurait tiré aucun enrichissement de la situation, dès lors qu'il avait cédé la totalité des droits résultant de la police d'assurance casco de la Lamborghini. En outre, l'appelant souligne que, en cas de dommage total du véhicule, il n'aurait certes plus eu à s'acquitter des mensualités du leasing, mais n'aurait, dans ce cas, bénéficié que d'un avantage indirect.</w:t>
      </w:r>
    </w:p>
    <w:p>
      <w:r>
        <w:rPr>
          <w:b/>
        </w:rPr>
        <w:t>E. 4.1</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Sur le plan subjectif, l'auteur doit avoir agi dans le dessein de se procurer ou de procurer à un tiers un enrichissement illégitime, correspondant au dommage de la dupe (Dupuis et alii [éd.], Petit commentaire du Code pénal, Bâle 2012, n. 34 ad art. 146 CP). Pour condamner, il faut donc démontrer que l'avantage patrimonial obtenu ou visé par l'auteur correspondait à un désavantage pour le lésé (ATF 134 IV 210 consid. 5.3, JdT 2009 I 577) et que ce désavantage résultait directement de l'acte de disposition consenti par la victime (ATF 126 IV 113 consid. 3a, JdT 2001 IV 48). A défaut de dommage, il n'y a pas escroquerie consommée ; seule une tentative au sens de l'art. 22 CP peut être envisagée à charge de l'auteur (ATF 128 IV 18 consid. 3b ; TF 6B_791/2013 du 3 mars 2014 consid. 3.1.3).</w:t>
      </w:r>
    </w:p>
    <w:p>
      <w:r>
        <w:rPr>
          <w:b/>
        </w:rPr>
        <w:t>E. 4.2</w:t>
      </w:r>
    </w:p>
    <w:p>
      <w:r>
        <w:t>En l'espèce, les premiers juges ont retenu que le prévenu s'était rendu coupable d'escroquerie, en obtenant d'I.________ SA un montant de 35'000 fr. pour couvrir la dépréciation du véhicule ayant fait suite à l'accident survenu en Italie le 20 juillet 2010. Or, l'accident en question n'a nullement été reconnu comme constitutif d'une fraude, et il ne ressort pas du dossier que l'appelant aurait astucieusement tenté d'obtenir un enrichissement illégitime à cet égard. En conséquence, c'est à tort que le Tribunal correctionnel a considéré que X.________ s'était, pour ces faits, rendu coupable d'escroquerie. Concernant la somme de 131'025 fr. 80, payée par I.________ SA pour les réparations du véhicule après les événements du 24 septembre 2011 et dont elle a fait état à titre de dommage (cf. P. 118), une infraction d'escroquerie ne saurait davantage être retenue. En effet, si le patrimoine de la société d'assurance s'est certes trouvé appauvri de ce montant, l'appelant n'en a tiré aucun enrichissement ou avantage patrimonial. I.________ SA n'a d'ailleurs ni déposé plainte dans le cadre de la présente procédure, ni fait valoir son dommage par une déclaration devant une autorité de poursuite pénale avant la clôture de la procédure préliminaire (cf. art. 118 al. 3 CPP). Au vu de ce qui précède, l'appel doit en conséquence être admis sur ce point et l'appelant libéré de l'accusation d'escroquerie.</w:t>
      </w:r>
    </w:p>
    <w:p>
      <w:r>
        <w:rPr>
          <w:b/>
        </w:rPr>
        <w:t>E. 4.3</w:t>
      </w:r>
    </w:p>
    <w:p>
      <w:r>
        <w:t>S'agissant du plan établi par l'appelant afin de faire détruire son véhicule, il convient de relever que seule une tentative d'escroquerie peut être envisagée, dès lors qu'I.________ SA n'a pas payé à C.________ SA la somme de 320'000 fr. qui aurait dû être versée en cas de dommage total de la Lamborghini, mais a uniquement payé les frais de réparation de ce véhicule ensuite de la tentative de destruction. Partant, le résultat escompté par l'appelant, soit le versement par I.________ SA à C.________ SA d'une indemnité sur laquelle il aurait lui-même obtenu une créance, ne s'est pas produit. On relèvera que, comme le soutient l'appelant, le fait d'être libéré des mensualités du leasing, en cas de dommage total de la Lamborghini, n'aurait constitué pour lui qu'un avantage indirect. Or, selon le Tribunal fédéral, l'identité matérielle entre le dommage de la victime et l'enrichissement de l'auteur, indispensable à la réalisation de l'élément subjectif de l'infraction d'escroquerie, fait défaut si, après avoir cédé ses droits d'assurance casco au donneur de leasing, le preneur de leasing obtient pour seul avantage – ensuite d'un sinistre – une libération des mensualités du leasing, tandis que le dommage subi par la compagnie d'assurance correspond à l'indemnité versée au donneur de leasing (ATF 134 IV 210 consid. 5.4, JdT 2009 I 577). L'appelant ne saurait en conséquence être condamné pour tentative d'escroquerie ensuite de sa libération des mensualités de leasing. Une telle libération n'était d'ailleurs pas l'unique objectif visé par le prévenu, qui cherchait un autre enrichissement, comme exposé ci-dessous. L'appelant s'est en revanche bien rendu coupable de tentative d'escroquerie, dans la mesure où, contrairement à ce qu'il soutient, il aurait bien obtenu, en cas de dommage total de son véhicule, le remboursement de la part du prix d'acquisition payée par ses soins lors de son acquisition. En effet, comme les prestations d’assurance éventuellement supérieures aux prétentions du donneur de leasing devaient revenir au preneur de leasing, I.________ SA aurait, en cas de dommage total, versé à C.________ SA un montant correspondant à la valeur du véhicule, tandis que l'appelant aurait acquis une créance, contre cette dernière société, d'un montant de 230'000 fr., correspondant à son apport initial. Le fait que cet argent aurait été transféré d'I.________ SA à C.________ SA, puis de cette dernière à X.________, ne change en rien le résultat, savoir qu'I.________ SA aurait vu son patrimoine diminué du montant obtenu indûment par l'appelant. L'appelant a ainsi bien cherché, en usant d'astuce, à récupérer chez I.________ SA le montant investi lors de l'acquisition de sa Lamborghini, afin d'utiliser cet argent pour acheter un nouveau véhicule dont la valeur n'avait pas été dépréciée. Au vu de ce qui précède, les premiers juges ont retenu à bon droit que l'appelant s'était rendu coupable de tentative d'escroquerie. L'appel doit ainsi être rejeté sur ce point.</w:t>
      </w:r>
    </w:p>
    <w:p>
      <w:r>
        <w:rPr>
          <w:b/>
        </w:rPr>
        <w:t>E. 5</w:t>
      </w:r>
    </w:p>
    <w:p>
      <w:r>
        <w:t>L'appelant conteste la quotité de la peine prononcée, qu'il juge excessive.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5.1.2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5.1.3</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cf. aussi TF 6B_664/2007 du 18 janvier 2008 consid.</w:t>
      </w:r>
    </w:p>
    <w:p>
      <w:r>
        <w:rPr>
          <w:b/>
        </w:rPr>
        <w:t>E. 5.2</w:t>
      </w:r>
    </w:p>
    <w:p>
      <w:r>
        <w:t>En l'espèce, les premiers juges ont qualifié la culpabilité de l'appelant d'aussi lourde que celle de l'intermédiaire H.________, en relevant la gravité de la lésion patrimoniale, l'intention délictueuse portant sur plusieurs centaines de mille francs (jgt, p. 50). Le tribunal a stigmatisé le comportement d'enfant gâté, futile et méprisable de l'appelant alors qu'il bénéficiait d'une bonne situation matérielle, ainsi que son arrogance, son mépris de la justice, son absence de prise de conscience, son amoralité à vouloir se tirer d'affaire en mentant et en accablant plus faibles et moins privilégiés que lui. Le recours à un intermédiaire passant lui-même par un homme de main démontre en effet, chez le prévenu, une volonté criminelle calculatrice pour arriver à ses fins en courant le moins de risques pénaux possibles, quitte à se retrancher derrière les agissements prétendument spontanés des sous-traitants. On ne trouve en l'occurrence aucun élément à décharge de l'appelant. L'absence d'antécédents ne saurait en particulier être retenue, dès lors que le prévenu a admis, au cours de l'audience d'appel, qu'il faisait l'objet d'une procédure pénale en Valais et a reconnu avoir, en 2007, été impliqué dans une affaire de « dessous de table dans le cadre d'une vente immobilière » (jgt d'appel, p. 4), et qu'il a été condamné à une peine pécuniaire avec sursis pour des infractions à la LCR commises en 2008. Ainsi, une détention effective apparaît nécessaire pour entraîner chez l'appelant une prise de conscience, actuellement inexistante, et permettre de formuler un pronostic mitigé au lieu d'entièrement défavorable. L'abandon de l'escroquerie réalisée au profit d'une unique tentative doit cependant conduire à une réduction de la quotité de la peine. Au vu de ce qui précède, c'est une peine privative de liberté de 24 mois, avec sursis partiel portant sur 18 mois et un délai d’épreuve de 5 ans, qui sera prononcée contre l'appelant. Enfin, on relèvera que le chiffre VIII du dispositif de première instance indique que la peine privative de liberté prononcée à l'encontre de X.________ est entièrement complémentaire à la peine prononcée le 14 décembre 2011 par le Tribunal cantonal du Valais. Toutefois, s'agissant en l'occurrence d'une peine pécuniaire de 15 jours-amende à 375 fr. le jour-amende, soit d'une peine d'un genre différent, le concours rétrospectif de l'art. 49 al. 2 CP est impossible, si bien que la mention en question doit être supprimée d'office.</w:t>
      </w:r>
    </w:p>
    <w:p>
      <w:r>
        <w:rPr>
          <w:b/>
        </w:rPr>
        <w:t>E. 6</w:t>
      </w:r>
    </w:p>
    <w:p>
      <w:r>
        <w:t>En définitive, l'appel doit être partiellement admis et le jugement attaqué réformé dans le sens des considérants. Vu l'issue de la cause, les frais d'appel, par 2'490 fr. (art. 21 al. 1 et 2 TFIP [Tarif des frais de procédure et indemnités en matière pénale du 28 septembre 2010 ; RSV 312.03.1]), seront mis pour deux tiers, soit par 1'660 fr., à la charge de X.________, le solde étant laissé à la charge de l’Etat. Vu la confirmation de la condamnation de l'appelant, il n'y a pas lieu de lui octroyer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