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296 vom 4. Mai 2016</w:t>
      </w:r>
    </w:p>
    <w:p>
      <w:r>
        <w:t>VD Tribunal cantonal, 2016-05-04, FR</w:t>
      </w:r>
    </w:p>
    <w:p>
      <w:r>
        <w:rPr>
          <w:b/>
        </w:rPr>
        <w:t xml:space="preserve">Quelle: </w:t>
      </w:r>
      <w:r>
        <w:t>https://mcp.opencaselaw.ch/entscheid/vd_findinfo_Jug___2016___296</w:t>
      </w:r>
    </w:p>
    <w:p>
      <w:r>
        <w:t>FR: VD_FINDINFO Jug / 2016 / 296 du 4 mai 2016</w:t>
      </w:r>
    </w:p>
    <w:p>
      <w:r>
        <w:t>IT: VD_FINDINFO Jug / 2016 / 296 del 4 maggio 2016</w:t>
      </w:r>
    </w:p>
    <w:p>
      <w:pPr>
        <w:pStyle w:val="Heading2"/>
      </w:pPr>
      <w:r>
        <w:t>Regeste</w:t>
      </w:r>
    </w:p>
    <w:p>
      <w:r>
        <w:t>ESCROQUERIE EN MATIÈRE DE PRESTATIONS, REPENTIR SINCÈRE, ASTUCE, POSITION DE GARANT, ATTÉNUATION DE LA PEINE, FIXATION DE LA PEINE | 146 al. 1 CP, 47 CP, 48 let. d CP, 75 LASV</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L.________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6B_319/2015 du 22 décembre 2015 consid. 2.1 et les références citées).</w:t>
      </w:r>
    </w:p>
    <w:p>
      <w:r>
        <w:rPr>
          <w:b/>
        </w:rPr>
        <w:t>E. 3</w:t>
      </w:r>
    </w:p>
    <w:p>
      <w:r>
        <w:t>Dans un premier moyen, L.________ invoque une violation par les premiers juges de l’art. 146 CP s’agissant des faits commis au préjudice des services sociaux. Il soutient, en substance, que les conditions de l’escroquerie par omission ne seraient pas réalisées, à défaut de position de garant, et que l’astuce ne saurait être retenue dès lors que lesdits services auraient pu procéder à des vérifications auprès des établissements bancaires. Par conséquent, l’appelant considère qu’il devrait être acquitté sur ce point de l’instruction et que les frais de procédure devraient être laissés à la charge de l’Etat, la contravention à la LASV (loi sur l’action sociale vaudoise ; RSV 805.051) étant au demeurant manifestement prescrite.</w:t>
      </w:r>
    </w:p>
    <w:p>
      <w:r>
        <w:rPr>
          <w:b/>
        </w:rPr>
        <w:t>E. 3.1</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3.1.1</w:t>
      </w:r>
    </w:p>
    <w:p>
      <w:r>
        <w:t>Cette infraction se commet en principe par action. Tel est le cas lorsqu’elle est perpétrée par actes concluants. L’escroquerie par omission n’est punissable que par l’auteur qui a, vis-à-vis du lésé, un devoir légal d’agir découlant d’une position de garant (ATF 140 IV 11 consid. 2.3.2, JdT 2014 IV 217). Selon la jurisprudence, l’obligation pour le bénéficiaire de prestations d’annoncer les changements susceptibles d’influencer son droit à celles-ci ne suffit pas à fonder une position de garant. Le fait de ne pas respecter cette obligation et de continuer à percevoir les prestations initialement allouées ne constitue pas un comportement actif de tromperie et ne saurait par ailleurs être interprété comme la manifestation positive - par acte concluant - du caractère inchangé de la situation. Une escroquerie par omission n’est donc pas envisageable dans un tel cas. En revanche, il convient d'analyser la situation de façon différente lorsque la perception de prestations est accompagnée d'autres actions permettant objectivement d'interpréter le comportement de l'assuré comme étant l'expression du caractère inchangé de la situation. Tel sera le cas lorsque le bénéficiaire ne répond pas ou pas de manière conforme à la vérité aux questions explicites destinées à établir l'existence de modification de la situation personnelle ou économique; il n'est en effet plus question alors d'une escroquerie par omission, mais d'une tromperie active (ATF 140 IV 11 précité consid. 2.4.6 ; TF 6B_496/2015 du 6 avril 2016 consid. 2.2.1).</w:t>
      </w:r>
    </w:p>
    <w:p>
      <w:r>
        <w:rPr>
          <w:b/>
        </w:rPr>
        <w:t>E. 3.1.2</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6B_496/2015 du 6 avril 2016 précité et les références citées).</w:t>
      </w:r>
    </w:p>
    <w:p>
      <w:r>
        <w:rPr>
          <w:b/>
        </w:rPr>
        <w:t>E. 3.2</w:t>
      </w:r>
    </w:p>
    <w:p>
      <w:r>
        <w:t>Contrairement à ce que soutient L.________, le comportement qui lui est reproché n’est pas constitutif d’une escroquerie par omission mais bien d’une tromperie active. Il est en effet indéniable que, durant les périodes concernées par l’accusation, L.________ n’a pas seulement passivement enfreint son obligation d’annoncer des changements susceptibles d’influencer son droit aux prestations sociales, mais, dûment interpellé par les services sociaux, a mensuellement rempli des déclarations mensongères en affirmant n’avoir réalisé aucun revenu. Le prévenu a ainsi, pour les mois concernés, d’une part, coché la case « non » à la question « revenus en cours de ce mois », alors même qu’il percevait des salaires, et, d’autre part, signé les formulaires sous la mention « je certifie que tous mes revenus figurent sur ce document » (P. 5/13). Par ailleurs, il a également menti et dissimulé l’existence de comptes bancaires, en apposant sa signature au pied du questionnaire « déclaration concernant la situation de fortune » (P. 5/9), sous la mention « je soussigné … déclare par la présente être titulaire de … compte(s) bancaire(s) ou postal(aux) et les déclarer ci-après, sans exception », en se bornant à indiquer ses comptes auprès du Crédit Suisse, de l’UBS et de la Banque Migros, alors qu’il disposait également de comptes postaux et d’un compte auprès de la Banque Coop. Comme l’a retenu à juste titre le premier juge, la condition de l’astuce est réalisée. Les services sociaux n’étaient en effet manifestement pas en mesure de procéder à toutes les vérifications nécessaires ; en particulier on ne pouvait exiger d’eux qu’ils s’adressent à tous les établissements bancaires de la place afin de s’assurer que l’appelant ne disposait pas d’autres comptes que ceux qu’il avait déclarés. Au demeurant, le Service social de Lausanne n’avait aucune raison de soupçonner L.________, impécunieux, de disposer de sept comptes bancaires ou postaux. Le prévenu se faisait évidemment verser ses salaires non déclarés sur un compte inconnu des services sociaux auprès d’un établissement bancaire différent de ceux où se trouvaient les comptes déclarés. Une interpellation des banques au sein desquelles se trouvaient les comptes connus du prévenu par les services sociaux aurait donc été manifestement infructueuse. Au vu de ce qui précède, c’est à juste titre que le premier juge a condamné L.________ pour escroquerie, les autres éléments constitutifs de cette infraction n’étant pas contestés.</w:t>
      </w:r>
    </w:p>
    <w:p>
      <w:r>
        <w:rPr>
          <w:b/>
        </w:rPr>
        <w:t>E. 3.3</w:t>
      </w:r>
    </w:p>
    <w:p>
      <w:r>
        <w:t>Dans la mesure où la condamnation pour escroquerie au préjudice des services sociaux est confirmée, la conclusion de l’appelant tendant à ce que les frais de la cause soient laissés à la charge de l’Etat devient sans objet.</w:t>
      </w:r>
    </w:p>
    <w:p>
      <w:r>
        <w:rPr>
          <w:b/>
        </w:rPr>
        <w:t>E. 4</w:t>
      </w:r>
    </w:p>
    <w:p>
      <w:r>
        <w:t>En ce qui concerne la fixation de la peine, l’appelant considère qu’il devrait être condamné à une peine pécuniaire et bénéficier de la circonstance atténuante du repentir sincère, s’agissant de l’escroquerie commise au préjudice de W.________, dès lors qu’il l’a entièrement remboursé.</w:t>
      </w:r>
    </w:p>
    <w:p>
      <w:r>
        <w:rPr>
          <w:b/>
        </w:rPr>
        <w:t>E. 4.1.1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6B_129/2015 du 11 avril 2016 consid. 1 et la référence citée). Quant au choix de la sanction, la peine pécuniaire constitue la sanction principale. Les peines privatives de liberté ne doivent être prononcées que lorsque l'Etat ne peut garantir d'une autre manière la sécurité publique. En vertu du principe de la proportionnalité, il y a en général lieu,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 ce titre, la peine pécuniaire peut notamment être exclue pour des motifs de prévention spéciale (TF 6B_1154/2014 du 3 mai 2016 consid. 3.2).</w:t>
      </w:r>
    </w:p>
    <w:p>
      <w:r>
        <w:rPr>
          <w:b/>
        </w:rPr>
        <w:t>E. 4.1.2</w:t>
      </w:r>
    </w:p>
    <w:p>
      <w:r>
        <w:t>S’agissant du choix du genre de peine, L.________ s’est rendu coupable d’escroquerie au préjudice des services sociaux, une première fois pendant près de deux ans, puis une seconde fois durant six mois, pour quelque 21'000 francs. Il s’en est également pris à des particuliers en commettant deux nouvelles escroqueries en décembre 2013 pour un montant total de 3'200 francs. On relèvera également que l’appelant a été condamné à des peines pécuniaires en 2007 et 2011 pour des infractions à la LCR, respectivement pour des lésions corporelles et des menaces notamment, puis à une peine privative de liberté en 2013 pour diverses infractions de violence. Il a en outre subi, en 2011, dix-huit jours de détention provisoire. Au vu de ce qui précède, le concours d’infractions, la durée des faits, les précédents sanctions restées sans effet, l’absence apparente de regrets s’agissant de l’escroquerie à l’aide sociale, le pr évenu rejetant sur le Service social de Lausanne la responsabilité du dommage, conduisent au choix d’une peine privative de liberté, une peine pécuniaire étant dénuée de toute efficacité. Celle-ci est au demeurant partiellement complémentaire à la peine prononcée en 2013, mais non, formellement, à celles de 2007 et 2011, puisque d’un genre différent, même s’il est vrai qu’il y a un concours rétrospectif. Sa quotité, qui n’est pas contestée en tant que telle, est adéquate. La peine infligée à l’appelant ne prête donc pas le flanc à la critique et doit dès lors être confirmée.</w:t>
      </w:r>
    </w:p>
    <w:p>
      <w:r>
        <w:rPr>
          <w:b/>
        </w:rPr>
        <w:t>E. 4.2.1</w:t>
      </w:r>
    </w:p>
    <w:p>
      <w:r>
        <w:t>Le premier juge a tenu compte, à décharge, dans le cadre général de la fixation de la peine, du fait que L.________ avait indemnisé W.________. S’il est vrai que le prévenu a remboursé le plaignant, on relèvera toutefois que ce versement est intervenu deux ans après les faits, soit le 18 décembre 2015, après que l’appelant a été condamné par ordonnance pénale et qu’il a été convoqué par l’Office d’exécution des peines – ce qui l’avait d’ailleurs amené à demander le relief de cette décision en urgence (P. 15/1). Le remboursement est donc davantage un geste tactique qu’un réel effort personnel témoignant d’un repentir, ce d’autant que le prévenu avait, au mois d’août 2014, déjà promis au procureur qu’il allait rembourser le plaignant (PV aud. 5 et 6). Le premier juge ayant tenu adéquatement compte du fait que L.________ avait remboursé l’une de ses dupes, il n’y a pas lieu d’atténuer davantage la peine qui lui a été infligée en application de l’art. 48 CP.</w:t>
      </w:r>
    </w:p>
    <w:p>
      <w:r>
        <w:rPr>
          <w:b/>
        </w:rPr>
        <w:t>E. 5</w:t>
      </w:r>
    </w:p>
    <w:p>
      <w:r>
        <w:t>En définitive, l’appel de L.________ doit être rejeté et le jugement attaqué confirmé. Une indemnité de défenseur d’office pour la procédure d’appel d’un montant de 1'317 fr. 60, TVA et débours inclus, doit être allouée à Me Jean Lob, défenseur de L.________. Cette indemnité correspond à la liste d’opérations produite (P. 40), sous déduction d’une heure estimée et non justifiée compte tenu de la durée effective de l’audience d’appel, soit 6h de travail d’avocat breveté, une vacation à 120 fr., 20 fr. de débours et 8% de TVA. Vu l’issue de la cause, les frais de la procédure d’appel, par 2'927 fr. 60, constitués en l’espèce de l’émolument de jugement, par 1’610 fr. (art. 21 al. 1 et 2 TFIP [tarif des frais de procédure et indemnités en matière pénale du 28 septembre 2010 ; RSV 312.03.1]), et de l’indemnité allouée au défenseur d’office de l’appelant, par 1'317 fr. 60, TVA et débours inclus, doivent être mis à la charge de L.________,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