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285 vom 30. Juni 2015</w:t>
      </w:r>
    </w:p>
    <w:p>
      <w:r>
        <w:t>VD Tribunal cantonal, 2015-06-30, FR</w:t>
      </w:r>
    </w:p>
    <w:p>
      <w:r>
        <w:rPr>
          <w:b/>
        </w:rPr>
        <w:t xml:space="preserve">Quelle: </w:t>
      </w:r>
      <w:r>
        <w:t>https://mcp.opencaselaw.ch/entscheid/vd_findinfo_Jug___2016___285</w:t>
      </w:r>
    </w:p>
    <w:p>
      <w:r>
        <w:t>FR: VD_FINDINFO Jug / 2016 / 285 du 30 juin 2015</w:t>
      </w:r>
    </w:p>
    <w:p>
      <w:r>
        <w:t>IT: VD_FINDINFO Jug / 2016 / 285 del 30 giugno 2015</w:t>
      </w:r>
    </w:p>
    <w:p>
      <w:pPr>
        <w:pStyle w:val="Heading2"/>
      </w:pPr>
      <w:r>
        <w:t>Regeste</w:t>
      </w:r>
    </w:p>
    <w:p>
      <w:r>
        <w:t>INDEMNITÉ{EN GÉNÉRAL}, CIRCULATION ROUTIÈRE{DROIT DE LA CIRCULATION ROUTIÈRE}, ADMISSION DE LA DEMANDE | 107 al. 2 LTF, 429 al. 1 let. a CPP (CH), 442 al. 4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2014, ch. 27 ad art. 107 LTF ; CREP 20 avril 2016/260).</w:t>
      </w:r>
    </w:p>
    <w:p>
      <w:r>
        <w:rPr>
          <w:b/>
        </w:rPr>
        <w:t>E. 1.2</w:t>
      </w:r>
    </w:p>
    <w:p>
      <w:r>
        <w:t>Par arrêt du 3 juin 2016, le Tribunal fédéral a retenu que l’ordonnance pénale rendue par le Ministère public le 16 février 2015, valant acte d’accusation, indiquait précisément la date et le lieu du comportement reproché, soit le 7 juillet 2013 au chemin de […] , sans toutefois mentionner que B.X.________ aurait circulé sur un chemin forestier, qui plus est avec l’accord de son père. Dans ces circonstances, le Tribunal fédéral a considéré que la Cour de céans avait violé le principe d’accusation pour fonder la condamnation de A.X.________ sur la base de l’art. 96 al. 3 LCR (loi fédérale sur la circulation routière du 19 décembre 1958 ; RS 741.01), dès lors qu’elle avait retenu implicitement que le fils de ce dernier avait roulé sur un chemin forestier et explicitement qu’il l’avait fait avec son autorisation.</w:t>
      </w:r>
    </w:p>
    <w:p>
      <w:r>
        <w:rPr>
          <w:b/>
        </w:rPr>
        <w:t>E. 2</w:t>
      </w:r>
    </w:p>
    <w:p>
      <w:r>
        <w:t>Appel du Ministère public Compte tenu de l’arrêt rendu le 3 juin 2016 par le Tribunal fédéral annulant la condamnation de A.X.________ pour avoir laissé son fils conduire un véhicule non couvert par une assurance responsabilité civile, l’appel du Ministère public doit être rejeté et l’acquittement du prévenu confirmé.</w:t>
      </w:r>
    </w:p>
    <w:p>
      <w:r>
        <w:rPr>
          <w:b/>
        </w:rPr>
        <w:t>E. 3</w:t>
      </w:r>
    </w:p>
    <w:p>
      <w:r>
        <w:t>Appel joint de A.X.________</w:t>
      </w:r>
    </w:p>
    <w:p>
      <w:r>
        <w:rPr>
          <w:b/>
        </w:rPr>
        <w:t>E. 3.1</w:t>
      </w:r>
    </w:p>
    <w:p>
      <w:r>
        <w:t>A.X.________ soutient que le premier juge aurait fait preuve d’arbitraire en réduisant à 3'150 fr. l’indemnité de 4'660 fr. 75 au sens de l’art. 429 CPP qu’il sollicitait. Il fait ainsi valoir que l’ensemble des opérations effectuées par son avocat seraient justifiées.</w:t>
      </w:r>
    </w:p>
    <w:p>
      <w:r>
        <w:rPr>
          <w:b/>
        </w:rPr>
        <w:t>E. 3.2</w:t>
      </w:r>
    </w:p>
    <w:p>
      <w:r>
        <w:t>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6B_403/2015 du 25 février 2016 consid. 2.1).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3.3</w:t>
      </w:r>
    </w:p>
    <w:p>
      <w:r>
        <w:t>En l’occurrence, s’il n’était pas déraisonnable d’avoir recours à un avocat dans le cadre de la présente procédure compte tenu des délits pour lesquels le prévenu était renvoyé, c’est en revanche à juste titre que le premier juge a considéré que le montant réclamé par A.X.________ était excessif.</w:t>
      </w:r>
    </w:p>
    <w:p>
      <w:r>
        <w:rPr>
          <w:b/>
        </w:rPr>
        <w:t>E. 3.3.1</w:t>
      </w:r>
    </w:p>
    <w:p>
      <w:r>
        <w:t>Contrairement à ce que soutient A.X.________, la nature bagatelle de l’affaire – qu’il ne conteste d’ailleurs pas (P. 39 et P. 33/2, p. 7) –, le caractère extrêmement réduit du risque pénal et l’exercice du mandat par une avocate collaboratrice du mandataire principal à l’audience de première instance ne justifient pas l’application d’un tarif horaire de 350 fr., soit le tarif maximal dans une cause qui n’est pas particulièrement complexe et qui ne nécessite pas du mandataire des connaissances particulières, selon l’art. 26a al. 3 TFIP. Partant, compte tenu de l’ensemble de ces éléments, le tarif horaire doit être fixé à 280 francs.</w:t>
      </w:r>
    </w:p>
    <w:p>
      <w:r>
        <w:rPr>
          <w:b/>
        </w:rPr>
        <w:t>E. 3.3.2</w:t>
      </w:r>
    </w:p>
    <w:p>
      <w:r>
        <w:t>Le temps consacré à la défense de A.X.________, soit 12 heures, excède en outre celui nécessaire à l’exercice raisonnable de ses droits de procédure. La liste d’opérations (P. 27), qui ne permet au demeurant pas de déterminer le temps concrètement dédié à chacune d’elles, peut ainsi être raisonnablement chiffrée de la manière suivante : 40 minutes pour l’audition devant le Ministère public, 1 heure et 5 minutes pour l’audience devant le Tribunal de police, 30 minutes pour prendre connaissance des courriers, 60 minutes liées à la rédaction de correspondances, 90 minutes d’entretien avec le client, 10 minutes de conversations téléphoniques et 2 heures pour analyser la cause et préparer l’audience de première instance, ce qui correspond à quelque 7 heures d’activité, soit 1'960 fr. (7h x 280 fr.). A ce montant s’ajoutent deux vacations à 186 fr. – soit le forfait, applicable aux défenseurs d’office, de 120 fr. majoré en fonction du tarif horaire de 280 fr. – pour les déplacements au Ministère public et au Tribunal de police, des débours comptés forfaitairement à 50 fr., et la TVA, par 190 fr. 55, soit un total de 2'572 fr. 55, pouvant être arrondi au montant de 3'150 fr. retenu par le premier juge, en y ajoutant moins de deux heures de travail supplémentaires. Au vu de ce qui précède, c’est à juste titre que le premier juge a alloué à A.X.________ une indemnité de 3'150 fr. pour les dépenses obligatoires occasionnées par la procédure de première instance.</w:t>
      </w:r>
    </w:p>
    <w:p>
      <w:r>
        <w:rPr>
          <w:b/>
        </w:rPr>
        <w:t>E. 4</w:t>
      </w:r>
    </w:p>
    <w:p>
      <w:r>
        <w:t>En définitive, l’appel du Ministère public et l’appel joint de A.X.________ doivent être rejetés et le jugement attaqué confirmé. Vu l’issue de la cause, les frais de la procédure d’appel antérieurs à l’arrêt du Tribunal fédéral du 3 juin 2016 sont laissés à la charge de l’Etat et ceux postérieurs, constitués en l’espèce du seul émolument de jugement, par 990 fr. (art. 21 al. 1 TFIP) doivent être mis par moitié, soit par 495 fr., à la charge de A.X.________, dès lors qu’il succombe en ce qui concerne son appel joint (art. 428 al. 1 CPP), l’autre moitié étant laissée à la charge de l’Etat. A.X.________, qui a obtenu gain de cause sur l’appel formé par le Ministère public, a droit à une indemnité pour les dépenses occasionnées par chacune des deux procédures d’appel (art. 429 al. 1 let. a CPP). Les listes d’opérations produites par l’appelant (P. 33/2 et 48/1) font état, au total, de plus de 10 heures d’activité, ce qui est toutefois excessif compte tenu de la simplicité de la cause et de la connaissance du dossier acquise en première instance, et de 20 fr. de débours. Le temps de travail nécessaire à la défense, qui comprend les entretiens avec le client, la rédaction des déterminations sur l’appel, de l’appel joint et des déterminations à la suite de l’arrêt du Tribunal fédéral, doit donc être réduit à 4 heures. Au vu de ce qui précède et dès lors qu’il succombe en ce qui concerne son appel joint, l’indemnité au sens de l’art. 429 CPP à allouer à A.X.________ pour les procédures d’appel sera fixée à la moitié de 1'231 fr. 20 (4h x 280 fr. + 20 fr. de débours + 8% de TVA), soit 615 fr. 60. Selon l’art. 442 al. 4 CPP, les autorités pénales peuvent compenser les créances portant sur des frais de procédure avec les indemnités accordées à la partie débitrice dans la même procédure pénale (ATF 139 IV 243 consid. 5). Par conséquent, il convient d’effectuer une compensation entre l’indemnité allouée à A.X.________ selon l’art. 429 CPP pour la procédure d’appel et les frais d’appel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