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283 vom 12. Februar 2016</w:t>
      </w:r>
    </w:p>
    <w:p>
      <w:r>
        <w:t>VD Tribunal cantonal, 2016-02-12, FR</w:t>
      </w:r>
    </w:p>
    <w:p>
      <w:r>
        <w:rPr>
          <w:b/>
        </w:rPr>
        <w:t xml:space="preserve">Quelle: </w:t>
      </w:r>
      <w:r>
        <w:t>https://mcp.opencaselaw.ch/entscheid/vd_findinfo_Jug___2016___283</w:t>
      </w:r>
    </w:p>
    <w:p>
      <w:r>
        <w:t>FR: VD_FINDINFO Jug / 2016 / 283 du 12 février 2016</w:t>
      </w:r>
    </w:p>
    <w:p>
      <w:r>
        <w:t>IT: VD_FINDINFO Jug / 2016 / 283 del 12 febbraio 2016</w:t>
      </w:r>
    </w:p>
    <w:p>
      <w:pPr>
        <w:pStyle w:val="Heading2"/>
      </w:pPr>
      <w:r>
        <w:t>Regeste</w:t>
      </w:r>
    </w:p>
    <w:p>
      <w:r>
        <w:t>CONDUITE EN ÉTAT D'IVRESSE | 91 al. 2 LCR, 10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s’être rendu coupable des faits décrits dans le cas n°1 de l’acte d’accusation (cf. C, 2.1 supra) et invoque une constatation erronée des faits par le premier juge ainsi qu’une violation de l’art. 10 al. 3 CPP.</w:t>
      </w:r>
    </w:p>
    <w:p>
      <w:r>
        <w:rPr>
          <w:b/>
        </w:rPr>
        <w:t>E. 3.2.1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rPr>
          <w:b/>
        </w:rPr>
        <w:t>E. 3.3.1</w:t>
      </w:r>
    </w:p>
    <w:p>
      <w:r>
        <w:t>B.________ a déclaré que c’était son ami J.________ qui conduisait le véhicule le soir des faits. Selon ses dires, ce dernier l’aurait déposé à l’entrée du parking puis l’aurait ensuite appelé pour qu’il le rejoigne lorsqu’il s’est fait interpeller par la police. Or, cette thèse est contredite par l’observation des policiers qui ont indiqué avoir interpellé le prévenu à côté du véhicule. Il est donc impossible que B.________ ait rejoint son comparse ensuite de son appel sans que les forces de l’ordre ne l’ait vu arriver. Par ailleurs, il ressort également du dossier que dans un premier temps, B.________ avait admis être le conducteur du véhicule avant de se rétracter. En outre, il est mis en cause par J.________ qui a déclaré que c’était le prévenu qui conduisait le véhicule ce soir-là (PV aud. 1, R 4). Enfin, O.________ – qui a déclaré ne plus se souvenir de qui conduisait le véhicule –n’a apporté aucun élément pertinent permettant de corroborer la version du prévenu. Force est donc de constater que c’est à juste titre que le premier juge a retenu que c’était B.________ qui conduisait le véhicule en état d’ébriété et qu’il s’est rendu coupable de conduite en état d’incapacité.</w:t>
      </w:r>
    </w:p>
    <w:p>
      <w:r>
        <w:rPr>
          <w:b/>
        </w:rPr>
        <w:t>E. 3.3.2</w:t>
      </w:r>
    </w:p>
    <w:p>
      <w:r>
        <w:t>L’appelant n’a pas contesté la fixation de la peine en tant que telle mais a pris une conclusion en réduction de la quotité de la sanction si l’autorité de céans devait le libérer des faits du cas n°1 de l’acte d’accusation. On constatera tout de même que la peine fixée par la première juge, soit 150 jours-amende à 40 fr. le jour, est justifiée en l’état. Son constat de culpabilité est complet et convaincant. Par ailleurs, il y également lieu de considérer qu’au vu notamment des antécédents du prévenu et du pronostic défavorable qui peut être posé quant à son comportement futur, un sursis est en l’espèce exclu (42 al. 1 CP).</w:t>
      </w:r>
    </w:p>
    <w:p>
      <w:r>
        <w:rPr>
          <w:b/>
        </w:rPr>
        <w:t>E. 4</w:t>
      </w:r>
    </w:p>
    <w:p>
      <w:r>
        <w:t>Dans un autre moyen, l’appelant demande la restitution d’une broche symbolisant un edelweiss qui a été séquestré en cours d’enquête par ordonnance du 26 septembre 2013 sous fiche n°4106. Par ordonnance de classement du 1 er septembre 2015, le Ministère public a notamment ordonné le classement de plusieurs infractions qui étaient initialement reprochées au prévenu dans le cadre de cette enquête. Dans cette ordonnance, le Procureur a ordonné la confiscation et la destruction des objets inventoriés selon fiche n°4106. Par conséquent, si le prévenu souhaitait contester cette confiscation, c’est par le biais d’un recours au sens des art. 393 ss CPP contre cette ordonnance qu’il aurait dû agir. Ce grief est donc irrecevable en l’espèce.</w:t>
      </w:r>
    </w:p>
    <w:p>
      <w:r>
        <w:rPr>
          <w:b/>
        </w:rPr>
        <w:t>E. 5</w:t>
      </w:r>
    </w:p>
    <w:p>
      <w:r>
        <w:t>En définitive, l’appel est rejeté dans la mesure de sa recevabilité et le jugement attaqué intégralement confirmé. Vu l’issue de la cause, l’émolument d’arrêt, par 1’280 fr. (art. 21 al. 1 et 2 TFIP [Tarif des frais de procédure et indemnités en matière pénale du 28 septembre 2010 ; RSV 312.03.1]), sera mis à la charge de B.________ (art. 428 al. 1 CPP). Me Claude-Alain Boillat a produit une liste d’opération indiquant 6h50 de travail et 100 fr. de débours. Or il apparaît qu’il a comptabilisé 3 heures pour l’audience d’appel. Dès lors que celle-ci a duré moins d’une demie heure et tenant compte du temps devant être consacré au client ensuite de l’audience, l’indemnité de défenseur d’office sera fixée sur une base de 6h20. En outre, il apparait également que des débours d’un montant de 100 fr. sont excessifs ; ils seront réduits à 50 francs. Ainsi, c’est une indemnité pour la procédure d’appel d’un montant de 1’414 fr. 80, TVA et débours inclus, qui sera allouée au défenseur d’office de B.________ laquelle sera, au vu du sort de l’appel, également mise à sa charge. Ce dernier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