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280 vom 2. Februar 2016</w:t>
      </w:r>
    </w:p>
    <w:p>
      <w:r>
        <w:t>VD Tribunal cantonal, 2016-02-02, FR</w:t>
      </w:r>
    </w:p>
    <w:p>
      <w:r>
        <w:rPr>
          <w:b/>
        </w:rPr>
        <w:t xml:space="preserve">Quelle: </w:t>
      </w:r>
      <w:r>
        <w:t>https://mcp.opencaselaw.ch/entscheid/vd_findinfo_Jug___2016___280</w:t>
      </w:r>
    </w:p>
    <w:p>
      <w:r>
        <w:t>FR: VD_FINDINFO Jug / 2016 / 280 du 2 février 2016</w:t>
      </w:r>
    </w:p>
    <w:p>
      <w:r>
        <w:t>IT: VD_FINDINFO Jug / 2016 / 280 del 2 febbraio 2016</w:t>
      </w:r>
    </w:p>
    <w:p>
      <w:pPr>
        <w:pStyle w:val="Heading2"/>
      </w:pPr>
      <w:r>
        <w:t>Regeste</w:t>
      </w:r>
    </w:p>
    <w:p>
      <w:r>
        <w:t>LOI FÉDÉRALE SUR LA PROTECTION DES ANIMAUX, PROTECTION DES ANIMAUX, LÉSION CORPORELLE SIMPLE, FIXATION DE LA PEINE, PEINE PÉCUNIAIRE | 49 CO, 123 CP, 34 CP, 47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sa condamnation pour lésions corporelles simples, repro­chant au premier juge une appréciation erronée des faits. Il fait valoir que le rapport de l’UMF fait état d’une zone de discoloration verdâtre-bleuté de 6x3 cm, et non d’une ecchymose, qu’une telle discoloration peut tout au plus constituer des voies de fait, que l’existence d’une gêne de déglutition alléguée par la plaignante n’a pas été cliniquement constatée, que le premier juge n’a absolument pas tenu compte des circonstances spéciales dans lesquelles cette marque au cou avait été infligée, qu’il ne pouvait en tous les cas pas imaginer que la pratique sexuelle « de la cuillère » pouvait engendrer une zone de discoloration au cou de sa partenaire et qu’il n’avait pas l’intention de blesser la plaignante.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3.2.1</w:t>
      </w:r>
    </w:p>
    <w:p>
      <w:r>
        <w:t>Aux termes de l'art. 123 ch. 1 CP ( Code pénal suisse du 21 décembre 1937, RS 311.0), celui qui, intentionnellement, aura fait subir à une personne une autre atteinte à l'intégrité corporelle ou à la santé sera, sur plainte, punie d'une peine privative de liberté de trois ans au plus ou d'une peine pécuniaire (al. 1). Dans les cas de peu de gravité, le juge pourra atténuer la peine (art. 48 a CP)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L’art. 123 CP suppose un comportement intentionnel. Le dol éventuel suffit (ATF 119 IV 1 consid. 5a). Il y a dol éventuel lorsque l’auteur tient pour possible la réalisation de l’infraction et l’accepte au cas où celle-ci se produirait, même s’il ne le souhaite pas (art. 12 al. 2 CP ; ATF 137 IV 1 consid. 4.2.3 ; 135 IV 152 consid. 2.3.2). Il faut donc qu’il existe un risque qu’un dommage puisse résulter de l’infraction, mais encore que l’auteur sache que ce danger existe et qu’il s’accom­mode de ce résultat, même s’il préfère l’éviter (cf. 6B_246/2012 du 10 juillet 2012 consid. 1.1 ; 6B_275/2011 du 7 juin 2011 consid. 5.1 ; 6B_741/2010 du 9 novembre 2010 consid. 2.1.1).</w:t>
      </w:r>
    </w:p>
    <w:p>
      <w:r>
        <w:rPr>
          <w:b/>
        </w:rPr>
        <w:t>E. 3.2.2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 ATF 117 IV 14 consid. 2a). Peuvent être qualifiées de voies de fait, une gifle, un coup de poing ou de pied, de fortes bourrades avec les mains ou les coudes (TF 66_525/2011 du 7 février 2012 consid. 4.1), l'arrosage d'une personne au moyen d'un liquide, l'ébouriffage d'une coiffure soigneusement élaborée ou encore un « entartage » et la projection d'objets durs d'un certain poids (ATF 117 IV 14 consid. 2a/cc ; TF 66_163/2008 du 15 avril 2008 consid. 2 ; TF 6P.99/2001 du 8 octobre 2001 consid. 2b et 2c).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et l’arrêt cité).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Selon le Tribunal fédéral (6B_690/2014 du 12 mars 2015 consid. 1.2), une plaie en région fronto-pariétale droite, sous les cheveux, contuse, superficielle, de 0,3 cm de diamètre, en forme de chevron, san­glan­te, avec quelques traces de coulures de sang séché, n’est pas une simple contusion, mais bien une plaie qui, même bénigne, génère plus de risques pour la santé de la victime en raison du danger d’infection inhérent à toute blessure avec écoulement de sang, pouvant être qualifiée de lésion corporelle.</w:t>
      </w:r>
    </w:p>
    <w:p>
      <w:r>
        <w:rPr>
          <w:b/>
        </w:rPr>
        <w:t>E. 3.3</w:t>
      </w:r>
    </w:p>
    <w:p>
      <w:r>
        <w:t>Dans la nuit du 31 mai au 1 er juin 2014, le prévenu et la plaignante ont eu un rapport sexuel dans la position de la cuillère. La plaignante s’est présentée à l’UMF le 2 juin 2014. Les médecins légistes qui ont procédé à son examen clinique à partir de 15 heures 18 ont constaté une zone de discoloration verdâtre-bleuté d’une surface de 6 x 3 centimètres sur la face latérale droite du cou, à 1 cm à droite de la ligne médiane et débutant à environ 9 cm au-dessus de la fourchette sternale (P. 18 p. 3). Selon  la plaignante, le prévenu lui a mis sa main gauche - dominante – à plusieurs reprises autour du haut de la gorge durant leur rapport sexuel. Elle a ressenti une pression et des difficultés à respirer et à déglutir, mais elle n’a pas perdu connaissance. Lorsque le prévenu lui a demandé si elle allait bien et qu’elle lui a répondu par la négative, il ne s’est pas arrêté (P. 18 p. 2). Après les faits, elle a remarqué une gêne à la dégluti­tion, sans changement de la voix et sans douleurs à la mobilisation du cou (P. 18 p. 3). Le prévenu a expliqué qu’il avait tenu sa partenaire par le cou pour la dominer dans le cadre de la relation sexuelle, mais qu’il ne l’avait pas serrée, que comme ce geste l’avait mise en panique, il avait tout arrêté et qu’il avait constaté qu’elle haletait, comme des sanglots sans larme (PV aud. 6 p. 2). Aux débats, le prévenu a indiqué qu’il n’avait eu aucune intention d’étrangler la plaignante, précisant qu’il s’agissait d’un rapport sexuel des plus normaux, bien qu’un peu plus fougueux que d’habitude, « avec un instant de domination ». A l’audience d’appel, le prévenu a confirmé avoir saisi le cou de sa partenaire durant leur rapport sexuel pratiqué dans la position de la cuillère, dans un geste de domination légère. Les traces relevées par les experts correspondent à un hématome, soit est un amas de sang apparaissant à l'intérieur d'un tissu après une hémorragie survenue à la suite d'un choc - par exemple la réception d’un coup de poing - pouvant entraîner un décollement et un gonflement de la peau. Lorsqu’un corps frappe des parties molles de l’organisme, il peut produire une contusion, soit une lésion sans rupture de la peau ni fissure des tissus qui se caractérise par une décoloration initiale, puis un renflement. On parle d’ecchymose seulement lorsqu’il y a extravasation sanguine dermique, autrement dit du sang qui quitte les vaisseaux. C’est une variété de purpura réalisant des taches de largeur variable aux contours irréguliers. Une ecchymose est généralement causée à la suite d’un choc et résulte de l’endommagement des capillaires sanguins, ce qui va permettre au sang de diffuser dans les tissus avoisinants. Généralement bénignes, les ecchymoses peuvent néanmoins résulter ou être associées à des traumatismes plus graves. Si le prévenu et la plaignante admettent tous les deux qu’ils ont eu un rapport sexuel dans la position de la cuillère, leurs versions divergent quant au point de savoir si la plaignante avait donné son accord à l’acte sexuel et à la position choisie et quant au déroulement de l’acte lui-même. Il convient dès lors de s’en tenir aux constatations opérées par les médecins deux jours après les faits qui, compte tenu des circonstances et de la durée des douleurs engendrées par le geste du prévenu, sont déterminantes. Les médecins ont décrit avec précision les lésions constatées sur le cou de la plaignante qui a eu du mal à déglutir pendant deux jours après cet épisode de violence. Il ne s’agissait pas seulement d’une gêne passagère supportable, mais bien de douleurs importantes. Le fait, pour le prévenu, de serrer le cou de sa partenaire depuis derrière durant un rapport sexuel pour exprimer sa domination, sans que ce jeu de domination n’ait été approuvé par sa partenaire,  de maintenir ou de répéter la prise en dépit des propos ou des réactions de sa partenaire qui exprimait son désaccord ou qui paniquait au point de laisser sur le cou de celle-ci une large trace d’épanche­ment de sang sous la peau et de causer une gêne à la déglutition durant un ou deux jours constitue manifestement une atteinte à l’intégrité physique, et non seulement une voie de fait. Dans la mesure où le prévenu, usant de force et de brutalité, a imposé son geste à sa partenaire qui manifestement n’en voulait pas, il n’a pas manqué de prévoyance, mais accepté que sa prise blesse, de sorte que l’intention par dol éventuel est réalisée. Au vu de tous ces éléments, il ne fait aucun doute que les blessures subies par S.________ sont constitutives de lésions corporelles simples et qu’il ne s’agit pas d’un cas de peu de gravité. La condamnation de l’appelant pour violation de l’art. 123 ch. 1 al. 1 CP doit ainsi être confirmée.</w:t>
      </w:r>
    </w:p>
    <w:p>
      <w:r>
        <w:rPr>
          <w:b/>
        </w:rPr>
        <w:t>E. 4</w:t>
      </w:r>
    </w:p>
    <w:p>
      <w:r>
        <w:t>Le prévenu conteste également sa condamnation pour mauvais traitements infligés aux animaux de manière intentionnelle. Il soutient que le chat ne voulait pas sortir de la chambre à coucher, qu’il l’a lancé hors de la chambre en le tenant par le cou, qu’il n’avait pas la volonté de le blesser et qu’il ne pouvait pas imaginer que le chat glisserait sur le sol et qu’il se blesserait.</w:t>
      </w:r>
    </w:p>
    <w:p>
      <w:r>
        <w:rPr>
          <w:b/>
        </w:rPr>
        <w:t>E. 4.1.1</w:t>
      </w:r>
    </w:p>
    <w:p>
      <w:r>
        <w:t>Aux termes de l’art 26 al. 1 let. a LPA, est puni d'une peine privative de liberté de trois ans au plus ou d'une peine pécuniaire quiconque, intentionnellement, maltraite un animal, le néglige ou le surmène inutilement ou porte atteinte à sa dignité d'une autre manière. Si l'auteur agit par négligence, il est puni d'une peine pécuniaire de 180 jours-amende au plus (art. 26 al. 2 LPA).</w:t>
      </w:r>
    </w:p>
    <w:p>
      <w:r>
        <w:rPr>
          <w:b/>
        </w:rPr>
        <w:t>E. 4.1.2</w:t>
      </w:r>
    </w:p>
    <w:p>
      <w:r>
        <w:t>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 Petit commentaire du Code pénal, Bâle 2012, n. 10 ad art. 12 CP et les références citées).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nn. 15 ss. ad art. 12 CP et les références citées).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d'une part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w:t>
      </w:r>
    </w:p>
    <w:p>
      <w:r>
        <w:rPr>
          <w:b/>
        </w:rPr>
        <w:t>E. 4.2</w:t>
      </w:r>
    </w:p>
    <w:p>
      <w:r>
        <w:t>En l’espèce, le prévenu ne nie pas avoir cassé le museau et une dent du chat de sa compagne en le lançant. Durant l’enquête, le prévenu a indiqué qu’alors qu’il tenait cette chatte par le cou et qu’elle griffait, il avait commencé à saigner, qu’il l’avait lancée sur le côté hors de la chambre et qu’elle était tombée le nez contre la plinthe d’un mur du salon (PV aud 2 p. 7). La plaignante a entendu l’animal hurler après le choc (PV aud. 1 p. 2). Aux débats, le prévenu a dit qu’il avait réagi à la présence du chat dans la chambre à coucher, qu’il l’avait extirpé de sous le lit avec un balai et qu’il l’avait empoigné à la nuque avant de le lancer en-dehors de la chambre. En appel, le prévenu soutient qu’il a lancé le chat hors de la chambre en le tenant par le cou, que le chat a glissé sur le sol en se réceptionnant et qu’il a alors heurté un meuble de l’appartement. Il prétend toutefois n’avoir pas agi intention­nellement, mais par négligence. A l’instar de la première juge, la cour de céans considère que le prévenu ne pouvait pas ignorer qu’en lançant un chat d’un geste rageur, celui-ci risquait de se blesser au terme de sa trajectoire. Même particulièrement souple, un animal peut se blesser s’il heurte une surface dure après avoir été violemment projeté en l’air d’une pièce à l’autre, soit sur plusieurs mètres. Dans ces circons­tances, le prévenu a à tout le moins accep­té la réalisation de l’infraction en ne prenant pas les précautions qui s’imposaient lorsqu’il a sorti la chatte de la plaignante de la chambre à coucher, de sorte qu’il n’y a pas place à la négligence et que sa con­dam­nation pour mauvais traitements infligés aux animaux de manière intentionnelle au sens l’art 26 al. 1 LPA doit être confirmée.</w:t>
      </w:r>
    </w:p>
    <w:p>
      <w:r>
        <w:rPr>
          <w:b/>
        </w:rPr>
        <w:t>E. 5</w:t>
      </w:r>
    </w:p>
    <w:p>
      <w:r>
        <w:t>L’appelant conclut à sa libération des chefs d’accusation retenus et à sa condamnation pour infraction par négligence à la LPA à une peine à dire de justice. Les infractions retenues par le premier juge étant confirmées, la quotité de la peine infligée au prévenu doit être examinée par la cour de céans.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5.1.2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5.1.3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5.1.4</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5.2</w:t>
      </w:r>
    </w:p>
    <w:p>
      <w:r>
        <w:t>En l’espèce, le premier juge a infligé à l’appelant une peine pécuniaire de 45 jours-amende à 30 fr. le jour, avec sursis pendant 3 ans, peine entièrement complémen­taire à celles prononcées les 10 juin 2014 et 4 août 2014 par les Ministè­res publics de La Côte et du Nord vaudois. En l'occurrence, le prévenu s’est rendu coupable de lésions corporelles simples et de mauvais traitements infligés aux animaux de manière intentionnelle. Il y a donc concours d’infractions. La culpabilité du prévenu ne saurait être minimisée, dès lors qu’il s’en est pris à l'intégrité physique de sa compagne avec brutalité et a fait preuve de violence à l’égard de la chatte de celle-ci. A aucun moment il n’a manifesté de remords ou exprimé des regrets. A charge, il convient encore de tenir compte du fait que le prévenu, contrairement à ce qu’il a laissé entendre à l’audience d’appel, a déjà été condamné pour des actes de violence à l’encontre de ses enfants en 2014 (P. 23). A décharge, il y a lieu de prendre en considération la situation personnelle du prévenu. Partant, au vu des éléments à charge et à décharge et de la culpabilité du prévenu, une peine pécuniaire de 45 jours-amende à 30 fr. le jour, est adéquate pour sanctionner les com­por­te­­ments illicites du prévenu, peine complémentaire à celles prononcées les 10 juin et 4 août 2014 par les Ministères publics de La Côte et du Nord vaudois, en application de l’art. 49 al. 2 CP. Le montant du jour-amende tient compte de la situation personne du prévenu qui est chef d’entreprise et qui ne réalise actuellement aucun revenu. La quotité de la peine peut ainsi être confirmée. Quant à l’octroi du sursis, il peut également être confirmé, le prévenu en remplissant les conditions. On ne saurait toutefois ignorer les antécédents du prévenu, de sorte qu’un délai d’épreuve de 3 ans s'avère nécessaire pour atteindre le but d'amendement durable recherché. Le délai d’épreuve de 3 ans, conforme au droit fédéral, peut donc également être confirmé.</w:t>
      </w:r>
    </w:p>
    <w:p>
      <w:r>
        <w:rPr>
          <w:b/>
        </w:rPr>
        <w:t>E. 6</w:t>
      </w:r>
    </w:p>
    <w:p>
      <w:r>
        <w:t>L’appelant conteste le droit de S.________ à bénéficier d’une quelconque indemnité à titre de tort moral, soutenant qu’elle n’a dû faire face qu’à une discoloration de la peau qui ne serait pas le résultat d’une atteinte grave.</w:t>
      </w:r>
    </w:p>
    <w:p>
      <w:r>
        <w:rPr>
          <w:b/>
        </w:rPr>
        <w:t>E. 6.1</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w:t>
      </w:r>
    </w:p>
    <w:p>
      <w:r>
        <w:rPr>
          <w:b/>
        </w:rPr>
        <w:t>E. 6.2</w:t>
      </w:r>
    </w:p>
    <w:p>
      <w:r>
        <w:t>Aux termes de l'art. 49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consid. 2a ; ATF 118 II 410 consid. 2a). Le juge peut, en vertu de l'art. 47 CO et en tenant compte de circonstances particulières, allouer à la victime de lésions corporelles une indemnité équitable à titre de réparation morale.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L'indemnité allouée doit être équitable (TF 1C_244/2015 du 7 août 2015 consid. 4.2 et les références citées). L’art. 43 al. 1bis CO permet, à certaines conditions, d’octroyer des dommages-intérêts au détenteur d’un animal domestique blessé. La plaignante se plaçant toutefois exclusivement sur le plan du tort moral qu’elle a personnellement enduré suite à la lésion subie, l’application de cette disposition n’est en l’espèce pas invoquée.</w:t>
      </w:r>
    </w:p>
    <w:p>
      <w:r>
        <w:rPr>
          <w:b/>
        </w:rPr>
        <w:t>E. 6.3</w:t>
      </w:r>
    </w:p>
    <w:p>
      <w:r>
        <w:t>L’atteinte subie par la plaignante n’est pas insignifiante. Les consé­quen­ces physiologiques de la lésion sont certes peu importantes, mais les circons­tances dans lesquelles elles ont été occasionnées en augmentent la portée psychi­que. Comme l’a attesté son psychologue traitant le 23 mars 2015 (P. 34/2), la plaignante a éprouvé du stress, de l’angoisse et des difficultés à avoir des contacts physiques avec autrui à la suite des faits litigieux. Dans ces circonstances, on doit admettre l'existence d'un dommage en relation avec les violences subies. Le montant de 1'000 fr. alloué à la plaignante au titre d’indemnité pour tort moral, conforme au droit, doit être confirmé. Ce moyen doit par conséquent être rejeté.</w:t>
      </w:r>
    </w:p>
    <w:p>
      <w:r>
        <w:rPr>
          <w:b/>
        </w:rPr>
        <w:t>E. 7</w:t>
      </w:r>
    </w:p>
    <w:p>
      <w:r>
        <w:t>En définitive, l’appel interjeté par X.________ doit être rejeté et le jugement rectifié d’office au chiffre IX de son dispositif en ce sens que le supplément d’honoraires de 1'114 fr. 35 accordé au conseil d’office de la plaignante pour couvrir la différence entre son indemnité de conseil d’office et les honoraires qu’il aurait perçus en qualité de conseil privé doit être supprimé. En effet, par analogie avec la jurisprudence rendue à propos de l’art. 429 CPP, selon laquelle seuls les frais de défense de choix sont indemnisables (Moreillon/Parein-Reymond, Petit commentaire du Code de procédure pénale, 2016, n. 12 ad art. 429 CPP ; TF 6B_753/2011 du 14 août 2012), la plaignante, qui n’a pas supporté les frais de défense d’un avocat de choix, ne peut prétendre à une indemnité à ce titre. Me Astyanax Peca a produit une liste des opérations (P. 82) faisant état de 13,21 heures d’activité, y compris 2 heures pour l’audience d’appel, et 352 fr. de débours incluant 120 fr. à titre de vacation. L’audience d’appel ayant duré un peu moins d’une heure, il convient de réduire à 12,5 heures le temps consacré par Me Peca à la présente cause. Quant aux débours, les frais de photocopies font partie des frais généraux de l’avocat, de sorte qu’ils ne peuvent être facturés en sus et qu’il convient de s’en tenir au forfait de 50 francs. Tout bien considéré, c’est une indemnité de 2'613 fr. 60 - correspondant à 12,5 heures d’activité à 180 fr., une vacation à 120 fr. et 50 fr. de débours, plus la TVA – qui doit être allouée à Me Astyanax Peca. S’agissant de l’indemnité du conseil d’office de S.________, la liste des opérations produites (P. 81) mentionne une activité de 10,2 heures, y compris l’audience d’appel du 1 er juin 2016, ainsi que 104 fr. de débours. La liste des opérations produites ne précisant pas quelles opérations ont été accomplies par l’avocat et par l’avocate-stagiaire, il convient de retenir un total de 10,5 heures pour l’activité déployée par l’avocate-stagiaire, audience d’appel comprise, au tarif horaire de 110 fr., ainsi qu’une vacation à 80 fr. (TF 6B_810/2010 du 25 mai 2011 consid. 2.4)  et  24 fr. de débours, plus la TVA. L’indemnité allouée à Me Matthieu Genillod doit ainsi être arrêtée à 1'359 fr. 70, TVA et débours compris. Vu l’issue de la cause, les frais de la procédure d’appel, par 6’983 fr. 30, constitués de l’émolument du présent jugement, par 3’010 fr. (art. 21 al. 1 TFIP [Tarif des frais de procédure et indemnités en matière pénale du 28 septembre 2010, RSV 312.03.1],) de l’indemnité de défenseur d’office allouée à Me Astyanax Peca, par 2'613 fr. 60, et de l’indemnité de conseil d’office allouée à Me Matthieu Genillod, par 1'359 fr. 70,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