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272 vom 9. März 2016</w:t>
      </w:r>
    </w:p>
    <w:p>
      <w:r>
        <w:t>VD Tribunal cantonal, 2016-03-09, FR</w:t>
      </w:r>
    </w:p>
    <w:p>
      <w:r>
        <w:rPr>
          <w:b/>
        </w:rPr>
        <w:t xml:space="preserve">Quelle: </w:t>
      </w:r>
      <w:r>
        <w:t>https://mcp.opencaselaw.ch/entscheid/vd_findinfo_Jug___2016___272</w:t>
      </w:r>
    </w:p>
    <w:p>
      <w:r>
        <w:t>FR: VD_FINDINFO Jug / 2016 / 272 du 9 mars 2016</w:t>
      </w:r>
    </w:p>
    <w:p>
      <w:r>
        <w:t>IT: VD_FINDINFO Jug / 2016 / 272 del 9 marzo 2016</w:t>
      </w:r>
    </w:p>
    <w:p>
      <w:pPr>
        <w:pStyle w:val="Heading2"/>
      </w:pPr>
      <w:r>
        <w:t>Regeste</w:t>
      </w:r>
    </w:p>
    <w:p>
      <w:r>
        <w:t>PRINCIPE DE LA BONNE FOI, ÉGALITÉ DE TRAITEMENT, TITRE UNIVERSITAIRE | 5 al. 3 Cst., 8 al. 1 Cst., 9 Cst., 23 LPers-VD, 24 LPers-VD, 6 RSRC</w:t>
      </w:r>
    </w:p>
    <w:p>
      <w:pPr>
        <w:pStyle w:val="Heading2"/>
      </w:pPr>
      <w:r>
        <w:t>Erwägungen</w:t>
      </w:r>
    </w:p>
    <w:p>
      <w:r>
        <w:rPr>
          <w:b/>
        </w:rPr>
        <w:t>E. 6</w:t>
      </w:r>
    </w:p>
    <w:p>
      <w:r>
        <w:t>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b) Alinéa 1 : (….)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d) Relation entre les alinéas 1 et 2 Au vu de la pénurie d’enseignants susmentionnée, l’Etat est amené, à titre exceptionnel, à engager des personnes ne disposant ni de la formation de base (titre académique), ni des titres pédagogiques requis pour occuper la fonction considérée. (…) e) Alinéa 3 : (….) 4. 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son arrêt du 5 juin 2013 que «cette note est le reflet de l’intention du Gouvernement cantonal dans son ensemble. On peut donc admettre que, même si elle a été rédigée a posteriori , elle est censée exprimer la volonté de l’auteur du règlement lors de l’adoption de celui-ci » (TF 8C_637/2012, consid. 7.5). Dans un autre arrêt récent du 15 octobre 2014, le Tribunal fédéral a confirmé que l’alinéa 1 de l’article 6 RSRC s’applique également au corps enseignant. En particulier, les réductions prévues aux alinéas 1 et 2 de l’article précité peuvent être cumulées. L’enseignant qui ne bénéficie pas du titre académique exigé – en l’occurrence un Master – fait donc l’objet d’une pénalité quels que soient ses titres pédagogiques. (8C_418/2013, p.6, consid. 3.2). De même, la Chambre des recours du Tribunal cantonal vaudois considère dans un arrêt du 25 mars 2013 « qu’il résulte de l’art. 6 al. 2 RSRC lu en relation avec la note interprétative du Conseil d’Etat que les enseignants font l’objet d’une pénalité salariale d’une classe lorsqu’ils disposent d’un titre pédagogique spécifique à l’enseignement public, mais qui n’est pas le titre en vigueur ou qui ne correspond pas au bon ordre d’enseignement selon la CDIP ; à l’inverse, les enseignants ne disposant d’aucun titre pédagogique spécifique à l’école publique sont pénalisés de deux classes salariales» CREC I 25 mars 2013 /205 consid. 3b). L'Etat de Vaud a décidé, dans la construction de sa grille des fonctions, que l'enseignement au secondaire nécessitait au minimum un Bachelor dans une ou plusieurs disciplines enseignables ainsi qu’un titre pédagogique de niveau master, dont l'obtention permet de bénéficier d'une pleine rémunération. La CDIP exige un titre de niveau Bachelor, suivi d’un Master en pédagogie pour enseigner au secondaire I. Cette exigence a été reprise par le défendeur et figure actuellement dans la fiche emploi-type de maître de disciplines académiques, ainsi que dans le descriptif des fonctions de la chaîne 142-11 qui exigent une formation universitaire de niveau Bachelor, puis formation pédagogique de niveau Master. En tant que telle, l’exigence d’un titre universitaire pour l’enseignement au niveau secondaire I, règle posée dans la législation fédérale, ne saurait être remise en cause par le tribunal de céans, qui n'a pas la compétence de statuer sur le titre requis pour être maître de disciplines académiques. Elle ne paraît d’ailleurs pas critiquable, dans la mesure où elle se fonde sur le Règlement concernant la reconnaissance des diplômes de hautes écoles pour les enseignantes et enseignants du degré secondaire I du 26 août 1999 (Recueil des bases légales de la CDIP 4.2.2.4). c) En l’espèce, il ressort des pièces produites que le demandeur est au bénéfice d’un brevet d’aptitude pour l’enseignement secondaire. Il n’est pas contesté ici que le demandeur a suivi les formations pédagogiques adéquates au niveau auquel il enseigne. Toutefois, le défendeur relève que, pour avoir le niveau 11, il faut être au bénéfice d’une formation universitaire de niveau Bachelor selon le descriptif des fonctions de la chaîne 142, niveau 11, et que les formations susmentionnés du demandeur ne sont que des titres pédagogiques et ne sont en aucun cas équivalentes au titre académique requis. L’instruction a permis de confirmer la position du défendeur. En effet, pour enseigner au secondaire I, il faut être au bénéfice d’un titre académique de niveau Bachelor, suivi d’un Master en pédagogie, qui, selon la CDIP et conformément au Règlement du 26 août 1999, doivent correspondre à un volume d’étude totalisant 270 à 300 crédits ECTS. Or, en l’espèce, rien dans le dossier ne permet de penser que les formations suivies par le demandeur sont équivalentes à un Master, à tout le moins à un Bachelor. En effet, selon les pièces au dossier, notamment l’expertise de la HEP daté du 18 décembre 2015, les anciens diplômes sont reconnus comme équivalents et permettent l’accès à un poste d’enseignement, mais ne sont pas reconnus comme équivalents à un Bachelor ou Master. En d’autres termes, la CDIP ne délivre pas un Bachelor ou un Master sur la base d’un ancien diplôme. Il ressort également des informations fournies par la CDIP qu’ « il y a lieu de distinguer clairement la reconnaissance à des fins professionnelles, qui garantit l’accès à la profession, de la reconnaissance académique. Il se peut donc que d’anciens diplômes reconnus a posteriori ne remplissent pas les exigences minimales actuelles du règlement de la CDIP (niveau haute école, volume des études, contenu, etc). Néanmoins, en application des dispositions transitoires, ils doivent être considérés comme équivalents pour l’accès à la profession, même si du point de vue académique ils ne sont pas équivalents. La reconnaissance porte uniquement sur l’égalité d’accès à la profession et sur le point de porter le titre professionnel correspondant ; elle ne donne pas droit à une conversion du diplôme en titre académique (Bachelor ou Master) ». Il n’incombe pas au tribunal de céans, comme rappelé plus haut, de substituer son appréciation à celle du défendeur dans l’examen de l’équivalence d’un ancien diplôme au regard des accords de Bologne, et il suffit ici de constater, pour les maîtres de disciplines académiques, que l’Etat de Vaud exige un équivalent Bachelor pour les colloquer en classe</w:t>
      </w:r>
    </w:p>
    <w:p>
      <w:r>
        <w:rPr>
          <w:b/>
        </w:rPr>
        <w:t>E. 11</w:t>
      </w:r>
    </w:p>
    <w:p>
      <w:r>
        <w:t>sans pénalité. Il n’y a dès lors pas de raison de mettre en doute le résultat des comparaisons effectuées par l’Etat de Vaud. Le grief de la violation du principe de l’égalité de traitement doit par conséquent être rejeté. VI. En conclusion, c’est à bon droit que le défendeur a colloqué le poste de le demandeur en classe 11 A dès le 1 er décembre 2008, de sorte que sa décision doit être confirmée. Il y a lieu de rejeter intégralement la demande, les griefs soulevés par le demandeur ayant tous été écartés. La procédure devant le tribunal de céans est gratuite lorsque la valeur litigeuse n’excède pas CHF 30'000.-, (art. 16 al. 6 Lpers), ce qui est le cas en l’espèce. Il n’y a pas non plus lieu d’allouer des dépens au défendeur, qui n’a pas engagé de frais externes de représentation. Partant, la présente décision est rendue sans frais ni dépens. Par ces motifs, statuant immédiatement, au complet, à huis clos et en contradictoire le Tribunal de Prud'hommes de l'administration cantonale prononce: I. Les conclusions du demandeur sont rejetées. II. Le présent jugement est rendu sans frais ni dépens. III. Toutes autres et plus amples conclusions sont rejetées. La présidente : La greffière : Juliette PERRIN, v.-p. Alessandra CREMA Du 10 juin 2016 Les motifs du jugement rendu le 9 mars 2016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La greffière : Alessandra CREMA,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