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260 vom 17. März 2016</w:t>
      </w:r>
    </w:p>
    <w:p>
      <w:r>
        <w:t>VD Tribunal cantonal, 2016-03-17, FR</w:t>
      </w:r>
    </w:p>
    <w:p>
      <w:r>
        <w:rPr>
          <w:b/>
        </w:rPr>
        <w:t xml:space="preserve">Quelle: </w:t>
      </w:r>
      <w:r>
        <w:t>https://mcp.opencaselaw.ch/entscheid/vd_findinfo_Jug___2016___260</w:t>
      </w:r>
    </w:p>
    <w:p>
      <w:r>
        <w:t>FR: VD_FINDINFO Jug / 2016 / 260 du 17 mars 2016</w:t>
      </w:r>
    </w:p>
    <w:p>
      <w:r>
        <w:t>IT: VD_FINDINFO Jug / 2016 / 260 del 17 marzo 2016</w:t>
      </w:r>
    </w:p>
    <w:p>
      <w:pPr>
        <w:pStyle w:val="Heading2"/>
      </w:pPr>
      <w:r>
        <w:t>Regeste</w:t>
      </w:r>
    </w:p>
    <w:p>
      <w:r>
        <w:t>CIRCULATION ROUTIÈRE{DROIT DE LA CIRCULATION ROUTIÈRE}, EXCÈS DE VITESSE, CALCUL, CAS GRAVE | 34 CP, 47 CP, 90 al. 2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soutient en premier lieu que le sursis devrait lui être accordé, dès lors que sa condamnation en 2013, pour avoir conduit un véhicule automobile malgré un permis de conduire à l'essai caduc, s'expliquerait par des raisons exclusivement « administratives ». Il expose à cet égard qu'il ignorait alors que son permis de conduire à l'essai était échu faute d'avoir suivi les cours « deux phases » nécessaires à l'obtention d'un permis de conduire définitif. Il affirme par ailleurs avoir pris conscience de la gravité des faits qui lui sont reprochés et soutient qu'il n'entend pas récidiver.</w:t>
      </w:r>
    </w:p>
    <w:p>
      <w:r>
        <w:rPr>
          <w:b/>
        </w:rPr>
        <w:t>E. 3.2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op. cit., n. 7a ad art. 43 CP ; TF 6B_492/2008 du 19 mai 2009, non publié aux ATF 135 IV 152, consid. 3.1).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3.3</w:t>
      </w:r>
    </w:p>
    <w:p>
      <w:r>
        <w:t>En l'espèce, dès lors qu'il n'a pas seulement été sanctionné pour conduite malgré un permis de conduire à l'essai caduc, mais également pour violation des règles de la circulation routière, c'est en vain que l'appelant revient sur les faits se rapportant à sa condamnation du 3 septembre 2013. En outre, l'extrait du registre ADMAS le concernant fait état d'un avertissement et d'un retrait de permis, prononcés dans les deux cas pour vitesse excessive. L'important dépassement de la vitesse autorisée, sanctionné dans la présente cause, n'apparaît ainsi pas comme une faute isolée. C'est donc à juste titre que le premier juge a prononcé une peine pécuniaire ferme, les antécédents de l'appelant en matière de circulation routière faisant apparaître le pronostic comme défavorable. C'est également en vain que l'appelant soutient que la renonciation à la révocation du sursis par le Tribunal de police constituerait la preuve d'un pronostic favorable. Au contraire, le premier juge a considéré qu'il pouvait renoncer à la révocation du sursis accordé le 3 septembre 2013, au motif que la peine ferme prononcée pour la récidive exercerait un effet d'avertissement suffisant. Pour les mêmes motifs, un sursis partiel n'entre pas en considération.</w:t>
      </w:r>
    </w:p>
    <w:p>
      <w:r>
        <w:rPr>
          <w:b/>
        </w:rPr>
        <w:t>E. 4.1</w:t>
      </w:r>
    </w:p>
    <w:p>
      <w:r>
        <w:t>L'appelant conteste ensuite le montant du jour-amende fixé par le premier juge, qui serait trop élevé.</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consid.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consid. 1.1.5). En règle générale, les intérêts hypothécaires et les frais de logement ne peuvent pas être déduits. On ne tient compte des autres charges que dans la « situation personnelle », parce que le contraire avantagerait les prévenus qui mènent un train de vie élevé. Contrairement aux dettes fiscales, le loyer du condamné n'est pas une charge (ATF 134 IV 60 ; CAPE 10 août 2011/101).</w:t>
      </w:r>
    </w:p>
    <w:p>
      <w:r>
        <w:rPr>
          <w:b/>
        </w:rPr>
        <w:t>E. 4.3</w:t>
      </w:r>
    </w:p>
    <w:p>
      <w:r>
        <w:t>En l'espèce, l'appelant a indiqué lors de l'audience d'appel qu'il réalisait un revenu mensuel de 2'400 à 2'500 fr. net pour son activité à 60% auprès de [...] SA, exercée parallèlement à ses études. De ce revenu doivent être déduits sa charge fiscale, par 250 fr., ses frais de déplacement professionnel (abonnement général CFF), par 240 fr., ainsi que sa prime d'assurance-maladie, par 300 fr. environ. Son solde librement disponible n'excède donc pas 1'700 fr. par mois. On constate en conséquence que, compte tenu de la situation financière de l'appelant, le montant du jour-amende fixé par le premier juge à 30 fr. est un peu élevé. Un montant du jour-amende arrêté à 20 fr. est plus adéquat. L'appel sera admis sur ce point.</w:t>
      </w:r>
    </w:p>
    <w:p>
      <w:r>
        <w:rPr>
          <w:b/>
        </w:rPr>
        <w:t>E. 5.1</w:t>
      </w:r>
    </w:p>
    <w:p>
      <w:r>
        <w:t>L’appelant conclut encore à une réduction de sa peine, celle-ci devant selon lui être ramenée de 200 à 180 jours-amende.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 1.1 ; TF 6B_335/2012 du 13 août 2012 consid. 1.1).</w:t>
      </w:r>
    </w:p>
    <w:p>
      <w:r>
        <w:rPr>
          <w:b/>
        </w:rPr>
        <w:t>E. 5.3</w:t>
      </w:r>
    </w:p>
    <w:p>
      <w:r>
        <w:t>En l'espèce, la différence entre la peine prononcée par le premier juge et celle demandée par l'appelant est minime et relève, d'une manière générale et indépendamment du pouvoir de réexamen de l'autorité d'appel, de l'appréciation du juge de première instance. On relève surtout que l'appelant tombait à 2 km/h près sous le coup de l'art. 90 al. 3 LCR. Il aurait alors été exposé à la sanction minimale d'un an de privation de liberté. Au vu de ce qui précède, la peine pécuniaire de 200 jours-amende est adéquate. Elle doit donc être confirmée.</w:t>
      </w:r>
    </w:p>
    <w:p>
      <w:r>
        <w:rPr>
          <w:b/>
        </w:rPr>
        <w:t>E. 6.1</w:t>
      </w:r>
    </w:p>
    <w:p>
      <w:r>
        <w:t>L'appelant demande enfin à titre subsidiaire la révocation du précédent sursis et l'octroi d'un sursis à l'exécution de la peine prononcée dans la présente cause.</w:t>
      </w:r>
    </w:p>
    <w:p>
      <w:r>
        <w:rPr>
          <w:b/>
        </w:rPr>
        <w:t>E. 6.2</w:t>
      </w:r>
    </w:p>
    <w:p>
      <w:r>
        <w:t>Si l'on comprend bien l'intérêt financier de l'appelant à la révocation du sursis portant sur la première peine plutôt que sur la seconde, l'effet-choc de la sanction résulte précisément de la solution retenue par le premier juge, dont les effets économiques seront toutefois légèrement atténués par la réduction du montant du jour-amende prononcée par la Cour de céans.</w:t>
      </w:r>
    </w:p>
    <w:p>
      <w:r>
        <w:rPr>
          <w:b/>
        </w:rPr>
        <w:t>E. 7</w:t>
      </w:r>
    </w:p>
    <w:p>
      <w:r>
        <w:t>En définitive, l’appel doit être partiellement admis et le jugement entrepris réformé dans le sens des considérants qui précèdent. L'appelant obtenant partiellement gain de cause, les frais de la procédure d'appel, constitués de l'émolument de jugement, qui se monte à 1'390 fr. (art. 21 al. 1 TFIP [tarif des frais de procédure et indemnités en matière pénale du 28 septembre 2010 ; RSV 312.03.1]), seront mis pour moitié à sa charge, le solde étant laissé à la charge de l’Etat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