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257 vom 21. März 2016</w:t>
      </w:r>
    </w:p>
    <w:p>
      <w:r>
        <w:t>VD Tribunal cantonal, 2016-03-21, FR</w:t>
      </w:r>
    </w:p>
    <w:p>
      <w:r>
        <w:rPr>
          <w:b/>
        </w:rPr>
        <w:t xml:space="preserve">Quelle: </w:t>
      </w:r>
      <w:r>
        <w:t>https://mcp.opencaselaw.ch/entscheid/vd_findinfo_Jug___2016___257</w:t>
      </w:r>
    </w:p>
    <w:p>
      <w:r>
        <w:t>FR: VD_FINDINFO Jug / 2016 / 257 du 21 mars 2016</w:t>
      </w:r>
    </w:p>
    <w:p>
      <w:r>
        <w:t>IT: VD_FINDINFO Jug / 2016 / 257 del 21 marzo 2016</w:t>
      </w:r>
    </w:p>
    <w:p>
      <w:pPr>
        <w:pStyle w:val="Heading2"/>
      </w:pPr>
      <w:r>
        <w:t>Regeste</w:t>
      </w:r>
    </w:p>
    <w:p>
      <w:r>
        <w:t>FRAIS DE LA PROCÉDURE | 426 al. 2 CPP (CH)</w:t>
      </w:r>
    </w:p>
    <w:p>
      <w:pPr>
        <w:pStyle w:val="Heading2"/>
      </w:pPr>
      <w:r>
        <w:t>Erwägungen</w:t>
      </w:r>
    </w:p>
    <w:p>
      <w:r>
        <w:rPr>
          <w:b/>
        </w:rPr>
        <w:t>E. 1.1</w:t>
      </w:r>
    </w:p>
    <w:p>
      <w:r>
        <w:t>Selon l’art. 399 CPP (Code de procédure pénale suisse du 5 octobre 2007; RS 312.0), l’appel doit être annoncé dans les dix jours qui suivent la communication du jugement, soit la remise ou la notification du dispositif écrit (al. 1). La déclaration d’appel doit être déposée dans les vingt jours à compter de la notification du jugement motivé (al. 3).</w:t>
      </w:r>
    </w:p>
    <w:p>
      <w:r>
        <w:rPr>
          <w:b/>
        </w:rPr>
        <w:t>E. 1.2</w:t>
      </w:r>
    </w:p>
    <w:p>
      <w:r>
        <w:t>Interjeté dans les forme et délai légaux par une partie ayant qualité pour recourir contre le jugement du tribunal de première instance qui a clos la procédure (art. 398 al. 1 CPP), l'appel de A.________ est recevable. Il y a donc lieu d’entrer en matière sur le fond.</w:t>
      </w:r>
    </w:p>
    <w:p>
      <w:r>
        <w:rPr>
          <w:b/>
        </w:rPr>
        <w:t>E. 1.3</w:t>
      </w:r>
    </w:p>
    <w:p>
      <w:r>
        <w:t>Dès lors qu'il ne porte que sur les frais, l'appel sera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3.2</w:t>
      </w:r>
    </w:p>
    <w:p>
      <w:r>
        <w:t>Selon la jurisprudence du Tribunal fédéral (TF 6B_1034/2015 du 31 mars 2016, consid. 3.1.1), la condamnation d'un prévenu acquitté à supporter tout ou partie des frais au sens de l'art. 426 al. 2 CPP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la 332 consid. 1b p. 334 et les références citées). Il doit en outre se trouver dans une relation de causalité adéquate avec l'ouverture de l'enquête ou les obstacles mis à celle-ci (ATF 116 la 162 consid. 2c p. 170 s. ; TF 6B_203/2015 du 16 mars 2016 consid. 1.1 ;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op. cit. ibidem ; TF 6B_203/2015 du 16 mars 2016 consid. 1.1, TF 6B_331/2012 du 22 octobre 2012 consid. 2. 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op. cit. consid. 2c p. 171).</w:t>
      </w:r>
    </w:p>
    <w:p>
      <w:r>
        <w:rPr>
          <w:b/>
        </w:rPr>
        <w:t>E. 3.3</w:t>
      </w:r>
    </w:p>
    <w:p>
      <w:r>
        <w:t>En l'espèce, si l'on admet avec le premier juge ─ et même si c'est au bénéfice du doute ─ que l'appelant n'avait aucune raison d'imaginer que son permis de conduire était un faux, on ne discerne pas en quoi le fait de posséder ce document pouvait constituer une violation claire d'une norme de comportement qui pourrait lui être reprochée à faute. Cela étant, les réquisits de l'art. 426 al. 2 CPP ne sont pas réunis et c'est à tort que les frais de procédure de première instance ont été mis à la charge de l'appelant.</w:t>
      </w:r>
    </w:p>
    <w:p>
      <w:r>
        <w:rPr>
          <w:b/>
        </w:rPr>
        <w:t>E. 3.4</w:t>
      </w:r>
    </w:p>
    <w:p>
      <w:r>
        <w:t>Il s'ensuit que l'appel de A.________ est bien fondé et doit être admis. Vu le sort de l'appel, les frais de la procédure de seconde instance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