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255 vom 29. Januar 2016</w:t>
      </w:r>
    </w:p>
    <w:p>
      <w:r>
        <w:t>VD Tribunal cantonal, 2016-01-29, FR</w:t>
      </w:r>
    </w:p>
    <w:p>
      <w:r>
        <w:rPr>
          <w:b/>
        </w:rPr>
        <w:t xml:space="preserve">Quelle: </w:t>
      </w:r>
      <w:r>
        <w:t>https://mcp.opencaselaw.ch/entscheid/vd_findinfo_Jug___2016___255</w:t>
      </w:r>
    </w:p>
    <w:p>
      <w:r>
        <w:t>FR: VD_FINDINFO Jug / 2016 / 255 du 29 janvier 2016</w:t>
      </w:r>
    </w:p>
    <w:p>
      <w:r>
        <w:t>IT: VD_FINDINFO Jug / 2016 / 255 del 29 gennaio 2016</w:t>
      </w:r>
    </w:p>
    <w:p>
      <w:pPr>
        <w:pStyle w:val="Heading2"/>
      </w:pPr>
      <w:r>
        <w:t>Regeste</w:t>
      </w:r>
    </w:p>
    <w:p>
      <w:r>
        <w:t>DEVOIR D'ASSISTANCE{FAMILLE}, VIOLATION DU DEVOIR D'ASSISTANCE OU D'ÉDUCATION, CRÉDIBILITÉ, PRESCRIPTION, ACTION PÉNALE | 219 CP</w:t>
      </w:r>
    </w:p>
    <w:p>
      <w:pPr>
        <w:pStyle w:val="Heading2"/>
      </w:pPr>
      <w:r>
        <w:t>Erwägungen</w:t>
      </w:r>
    </w:p>
    <w:p>
      <w:r>
        <w:rPr>
          <w:b/>
        </w:rPr>
        <w:t>E. 1</w:t>
      </w:r>
    </w:p>
    <w:p>
      <w:r>
        <w:t>Interjeté dans les formes et délais légaux (art. 399 CPP [Code de procédure pénale du 5 octobre 2007 ; RS 312.0]) par une partie ayant la qualité pour recourir contre le jugement d’un tribunal de première instance ayant clos la procédure (art. 398 al. 1 CPP), l’appel de C.G.________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3.1</w:t>
      </w:r>
    </w:p>
    <w:p>
      <w:r>
        <w:t>En l'espèce, l'appelant soutient que, faute de preuve suffisante, il aurait dû être libéré de toute infraction quant aux faits qui lui sont reprochés. A cet égard, il fait valoir que, dans son rapport d'expertise, l'expert n'a pas quantifié le ratio de critères d'analyse de crédibilité et soutient que le Tribunal de police n'a pas pris en compte les nombreux facteurs de pondération de la crédibilité de l'enfant ni les contradictions mises en évidence par l'expert. Ce serait en outre à tort que le Tribunal a considéré que les déclarations de la mère de l'enfant et celles d'A.________ corroboraient les dires de l'enfant. Ce serait également à tort que le premier juge n'a pas tenu compte des éléments qui plaidaient en sa faveur, en particulier les déclarations de neuf témoins interrogés en cours de procédure et l'absence de toute preuve matérielle. Compte tenu de ce qui précède, le Tribunal ne pouvait pas, selon l'appelant, retenir l'intégralité des déclarations de l'enfant B.G.________. L'appelant critique par ailleurs la qualification juridique des faits. D'une part, faute de bleus ou de toute autre marque constatés sur l'enfant entre le 29 janvier 2009 et le mois d'août 2010, le Tribunal de police n'aurait pas dû retenir la qualification de lésions corporelles simples (art. 123 CP), mais tout au plus celle de voies de fait (art. 126 CP), dont l'action pénale serait prescrite (art. 109 CP). D'autre part, à défaut d'avoir établi l'existence de séquelles psychologiques, il ne serait pas non plus possible de retenir une violation du devoir d'assistance au sens de l'art. 219 CP.</w:t>
      </w:r>
    </w:p>
    <w:p>
      <w:r>
        <w:rPr>
          <w:b/>
        </w:rPr>
        <w:t>E. 3.2.1</w:t>
      </w:r>
    </w:p>
    <w:p>
      <w:r>
        <w:t>Sous le titre marginal « Violation du devoir d'assistance ou d'éducation », l'art. 219 CP punit d'une peine privative de liberté de trois ans au plus ou d'une peine pécuniaire celui qui aura violé son devoir d'assister ou d'élever une personne mineure dont il aura ainsi mis en danger le développement physique ou psychique, ou qui aura manqué à ce devoir (al. 1). Si le délinquant a agi par négligence, la peine pourra être l'amende au lieu d'une peine privative de liberté ou d'une peine pécuniaire (al. 2). Pour que cette disposition soit applicable, il faut notamment que l'auteur ait violé son devoir d'assistance ou d'éducation ou qu'il ait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(ATF 125 IV 64 consid. la p. 69). Les actes reprochés doivent mettre en danger le développement physique ou psychique du mineur. Définissant un délit de mise en danger concrète, l'art. 219 CP n'exige pas une atteinte à l'intégrité corporelle ou psychique du mineur; une mise en danger suffit, celle-ci devant toutefois être concrète, c'est-à-dire qu'elle doit apparaître vraisemblable dans le cas concret (ATF 126 IV 136 consid. 1a ; ATF 125 IV 64 consid. 1a). Sur le plan subjectif, l'auteur peut avoir agi intentionnellement – dans ce cas, le dol éventuel suffit – ou par négligence (ATF 125 IV 64 consid. 1a).</w:t>
      </w:r>
    </w:p>
    <w:p>
      <w:r>
        <w:rPr>
          <w:b/>
        </w:rPr>
        <w:t>E. 3.2.2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 Kistler Vianin, in : Commentaire romand, Code de procédure pénale suisse, Bâle 2011, nn. 19 ss ad art. 398 CPP, et les références jurisprudentielles citées). 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6S_703/1993 du 18 mars 1994 consid. 3b ; CREP 8 janvier 2013/10).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rPr>
          <w:b/>
        </w:rPr>
        <w:t>E. 3.2.3</w:t>
      </w:r>
    </w:p>
    <w:p>
      <w:r>
        <w:t>Alors que, depuis le 1 er juillet 2014, l'art. 97 al. 1 let. c CP fixe à 10 ans la prescription de l'action pénale lorsque la peine maximale encourue est une peine privative de liberté de trois ans, l'art. 97 al. 1 let. c aCP, en vigueur jusqu'au 30 juin 2014, prévoyait, pour le même type d'infractions, une prescription de l'action pénale de sept ans. La prescription court dès le jour du dernier acte si cette activité s'est exercée à plusieurs reprises (art. 98 let. b CP) ou dès le jour où les agissements coupables ont cessé s'ils ont eu une certaine durée (art. 98 let. c CP).</w:t>
      </w:r>
    </w:p>
    <w:p>
      <w:r>
        <w:rPr>
          <w:b/>
        </w:rPr>
        <w:t>E. 3.3.1</w:t>
      </w:r>
    </w:p>
    <w:p>
      <w:r>
        <w:t>En l'espèce, dans ses déclarations faites à l'occasion des débats (cf. jugement entrepris, p. 11), confirmées à l'audience d'appel, l'appelant a admis, s'agissant des faits qui lui étaient reprochés, qu'il avait traité à plusieurs reprises son fils de « nul », qu'il avait été strict avec lui, qu'il l'avait rabaissé, qu'il avait excédé son droit de correction et qu'il avait « serré la vis » lorsque son fils lui présentait de mauvais résultats scolaires. S'il ne revient pas sur ces éléments en procédure d'appel, l'appelant soutient en revanche ne pas avoir accompli, en termes d'intensité et de fréquence, les actes que son fils lui reproche. A cet égard, lors de sa première audition devant la police (cf. procès-verbal d'audition du 8 janvier 2013), l'appelant a admis, en présence de son défenseur, que « des choses s'étaient mal passées », qu'il « ne pouvait pas laisser passer certaines choses », qu'il y avait eu des épisodes physiques plus violents lorsque son fils était malhonnête, qu'il avait fallu « serrer un peu » l'enfant pour qu'il comprenne « comment va la vie », qu'il lui avait tiré les cheveux à une reprise et les oreilles à une ou deux reprises, qu'il lui avait mis le visage dans son assiette et qu'il lui était arrivé de donner une tape sur la tête de l'enfant lorsqu'il était à table et « poussait le bouchon trop loin ». L'appelant ne peut pas prétendre qu'il a dû sévir en raison des mauvais résultats scolaires du plaignant. Cette explication n'est pas crédible au vu des bulletins de notes figurant au dossier (cf. P. 26/1). Il ne peut pas non plus reprocher à [...], maîtresse d'appui et doyenne de l'établissement scolaire fréquenté par B.G.________ en 2006 qui avait convoqué ses parents à la suite de suspicions de violence, d'avoir provoqué l'enfant en ne lui posant que des questions fermées. Il ressort en effet de l'audition de cette dernière (cf. procès-verbal de l'audition du 27 février 2013) que, lors de son entretien avec l'enfant, elle l'avait laissé parler sans l'interrompre et que celui-ci s'était exprimé spontanément. Par la suite, lors d'une séance qui s'était tenue le 13 novembre 2006 en présence notamment de l'enseignante, du médecin scolaire et des parents, les intervenants ont du reste constaté que C.G.________ était démonstratif, autoritaire et agressif, la mère étant partie en pleurs avant la fin de la séance. Au demeurant, il ressort du courrier adressé au Procureur par le Dr [...], pédopsychiatre qui avait suivi le plaignant en 2006, que C.G.________ lui avait dit qu'il pratiquait une éducation un « peu rude » et qu'il avait la « claque facile ». On ne saurait ainsi retenir, au regard des éléments qui précèdent, que l'enfant a menti et qu'il ne serait pas crédible lorsqu'il accuse son père de lui avoir infligé des violences, verbales et psychiques, sur une durée conséquente. Dans ces conditions, peu importe en définitive que l'expert, tout en admettant la crédibilité de l'enfant, ait formulé certaines réserves. Peu importe par ailleurs que les témoins interrogés n'aient rien vu, ni rien su. Quand bien même il faut constater que D.G.________, mère du plaignant, n'ait pas constaté de traces de coups, on ne saurait parvenir à la conclusion que l'enfant aurait menti. Tout ce que cela tend à prouver, c'est que les actes infligés à l'enfant n'entraînaient pas de marques visibles. A cet égard, le plaignant ne prétend pas le contraire. Au vu de l'ensemble des éléments qui précèdent, les réserves émises par l'expert ne sont en définitive pas de nature à contrebalancer l'appréciation de la Cour de céans, qui tient pour crédibles les déclarations de B.G.________.</w:t>
      </w:r>
    </w:p>
    <w:p>
      <w:r>
        <w:rPr>
          <w:b/>
        </w:rPr>
        <w:t>E. 3.3.2</w:t>
      </w:r>
    </w:p>
    <w:p>
      <w:r>
        <w:t>Il se pose en outre la question de la prescription des actes reprochés à l'appelant. Dès lors que la disposition la plus favorable au prévenu doit profiter à ce dernier, c'est à juste titre que le premier juge a estimé que le délai de prescription applicable à la présente cause était de sept ans et non de dix ans. Comme le relève le Tribunal de police, les faits antérieurs au 29 janvier 2009, date du jugement, sont donc prescrits en tant qu'ils pourraient relever de lésions corporelles simples ou de violation du devoir d'assistance ou d'éducation. Seuls sont ainsi susceptibles d'être retenus à la charge de C.G.________ les faits qui se sont produits depuis le 29 janvier 2009. Lors de l'audience d'appel, B.G.________ a déclaré ne pas avoir le souvenir d'avoir subi des ecchymoses durant les derniers mois de sa cohabitation avec son père. Du reste, pour le plaignant, les épisodes de violence avec l'utilisation d'une ceinture remontraient à sa petite enfance. Les derniers actes dont il se rappelle, peu avant le départ de son père du domicile familial, survenu le 24 septembre 2010, étaient des claques, « nombreuses », quelques coups de pied ainsi que des agressions verbales lorsqu'il ramenait de mauvais notes de l'école. Il s'ensuit, au vu de ces déclarations et à défaut de pouvoir individualiser plus précisément d'un point de vue temporel les lésions corporelles subies par le plaignant, que l'action pénale relative à cette infraction doit être tenue pour prescrite. L'infraction de lésions corporelles simples ne peut donc pas être retenue à la charge de l'appelant. Il en va de même s'agissant d'éventuelles voies de fait, dont l'action pénale se prescrit par trois ans (art. 109 CP). L'appelant doit dès lors être libéré du chef de prévention de lésions corporelles simples. L'appel sera admis sur ce point.</w:t>
      </w:r>
    </w:p>
    <w:p>
      <w:r>
        <w:rPr>
          <w:b/>
        </w:rPr>
        <w:t>E. 3.3.3</w:t>
      </w:r>
    </w:p>
    <w:p>
      <w:r>
        <w:t>On relèvera enfin que, contrairement à ce que prétend l'appelant, dès lors que l'art. 219 CP réprime la mise en danger du développement physique ou psychique du mineur, il n'est pas déterminant que B.G.________ ne paraît pas avoir subi de séquelles psychologiques. Les éléments constitutifs, tant objectifs que subjectifs, de l'infraction de violation du devoir d'assistance ou d'éducation sont ainsi réunis, s'agissant des actes commis entre le 29 janvier 2009 et le 24 septembre 2010. L'appelant doit dès lors être reconnu coupable de violation du devoir d'assistance ou d'éducation.</w:t>
      </w:r>
    </w:p>
    <w:p>
      <w:r>
        <w:rPr>
          <w:b/>
        </w:rPr>
        <w:t>E. 4.1</w:t>
      </w:r>
    </w:p>
    <w:p>
      <w:r>
        <w:t>Au vu de l’admission partielle de l’appel de C.G.________, il convient de fixer une nouvelle peine correspondant à la culpabilité finalement retenue (ATF 139 IV 84 consid. 1.2), étant précisé que l'appelant conclut à titre subsidiaire au prononcé d'une peine pécuniaire de 60 jours-amende à 30 fr., dont le sursis à l'exécution n'est pas conditionné au paiement d'acomptes de 50 fr. qu'il s'était engagé à verser mensuellement à son fils B.G.________ pour honorer la convention lui allouant un montant 4'000 fr. à titre d'indemnité pour tort moral.</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 ; TF 6B_759/2011 du 19 avril 2012 consid. 1.1; TF 6B_335/2012 du 13 août 2012 consid. 1.1).</w:t>
      </w:r>
    </w:p>
    <w:p>
      <w:r>
        <w:rPr>
          <w:b/>
        </w:rPr>
        <w:t>E. 4.3</w:t>
      </w:r>
    </w:p>
    <w:p>
      <w:r>
        <w:t>En l'espèce, la culpabilité de C.G.________ est lourde. Même si seuls les actes commis entre le 29 janvier 2009 et le 24 septembre 2010 demeurent punissables, l'appelant a employé des méthodes éducatives dégradantes, brutalisant et rabaissant son fils au lieu de contribuer à son développement et manquant ainsi gravement à ses devoirs de père. Un signalement des autorités scolaires en 2006 ne l'a pas incité à remettre en cause son comportement et à renoncer à ses agissements. La violence manifestée à l'égard de son fils a eu des conséquences importantes pour sa victime, impliquant une grande souffrance physique et morale. Même s'il va mieux aujourd'hui, B.G.________ présente encore une perte de l'estime de soi, dont son père peut en grande partie être tenu pour responsable. A décharge, on prendra en considération l'absence d'antécédents judiciaires et le fait que l'appelant a accepté de dédommager sa victime, ce qui peut être interprété comme une façon d'exprimer des regrets et de présenter des excuses. Au vu de ces considérations, une peine de 120 jours-amende est adéquate. Compte tenu de la situation financière de l'appelant, le montant du jour-amende sera arrêté à 20 francs. Dès lors que l'appelant n'avait jamais été condamné pénalement jusqu'alors, qu'il a partiellement admis les faits et que le risque de récidive peut être considéré comme faible, C.G.________ sera mis au bénéfice du sursis, l'exécution de la peine pécuniaire étant suspendue pendant un délai d'épreuve de trois ans. Il n'y a enfin pas lieu de remettre en cause la subordination du sursis au paiement du montant d'acomptes mensuels de 50 fr. à la victime, dès lors que cette règle de conduite (art. 94 al. 2 CP) n'impose pas un sacrifice excessif au condamné, qu'elle tient compte de la nature de l'infraction et qu'elle respecte en définitive le principe de la proportionnalité (cf. TF 6B_626/2008 du 11 novembre 2008 consid. 6.1).</w:t>
      </w:r>
    </w:p>
    <w:p>
      <w:r>
        <w:rPr>
          <w:b/>
        </w:rPr>
        <w:t>E. 5.1</w:t>
      </w:r>
    </w:p>
    <w:p>
      <w:r>
        <w:t>L'appelant conteste enfin la répartition des frais judiciaires de première instance. Pour l'appelant, dès lors que la majorité des faits incriminés étaient prescrits, ce serait à tort que la totalité des frais de première instance a été mis à sa charge.</w:t>
      </w:r>
    </w:p>
    <w:p>
      <w:r>
        <w:rPr>
          <w:b/>
        </w:rPr>
        <w:t>E. 5.2.1</w:t>
      </w:r>
    </w:p>
    <w:p>
      <w:r>
        <w:t>Aux termes de l'art. 426 al. 1 CPP, le prévenu doit supporter les frais de procédure s'il est condamné. Si sa condamnation n'est que partielle, les frais ne doivent être mis à sa charge que de manière proportionnelle, en considération des frais liés à l'instruction des infractions pour lesquelles un verdict de culpabilité a été prononcé (Moreillon/Parein-Reymond, Petit commentaire du Code de procédure pénale, 2016, n. 6 ad art. 426 CPP ; TF 6B_214/2013 du 17 février 2014 consid. 3.1). Dans ce cas, une certaine marge d'appréciation doit être laissée à l'autorité dès lors qu'il est difficile de déterminer avec exactitude les frais qui relèvent de chaque fait imputable ou non au condamné (TF 6B_45/2011 du 12 septembre 2011, consid. 3.1; TF 6S.421/2006 du 6 mars 2007 consid. 2.1.2 in fine).</w:t>
      </w:r>
    </w:p>
    <w:p>
      <w:r>
        <w:rPr>
          <w:b/>
        </w:rPr>
        <w:t>E. 5.2.2</w:t>
      </w:r>
    </w:p>
    <w:p>
      <w:r>
        <w:t>Selon l'art. 426 al. 2 CPP, appliqué à titre supplétif,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la 332 consid. 1b ; ATF 116 la 162 consid. 2c). Ces considérations valent mutatis mutandis lorsque le tribunal refuse d'allouer une indemnité au prévenu en cas de procédure se soldant sans condamnation (cf. ATF 115 la 309 consid. 1a ; TF 6B_215/2007 du 2 mai 2008 consid. 6).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(ATF 119 la 332 consid. 1b ; ATF 116 la 162 consid. 2c). Le fait reproché doit constituer une violation claire de la norme de comportement (ATF 119 la 332 consid. 1b ; ATF 116 la 162 consid. 2d). L'acte répréhensible n'a pas à être commis intentionnellement. La négligence suffit, sans qu'il soit besoin qu'elle soit grossière (ATF 109 la 160 consid. 4a). L'acte répréhensible doit en outre se trouver dans une relation de causalité adéquate avec l'ouverture de l'enquête ou les obstacles mis à celle-ci. Tel est notamment le cas lorsque le comportement du prévenu, violant clairement des prescriptions écrites cantonales, était propre à faire naître, selon le cours ordinaire des choses et l'expérience de la vie, le soupçon d'un comportement punissable justifiant l'ouverture d'une enquête pénale (ATF 116 la 162 consid. 2c).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116 la 162 consid. 2c). Sur la base des principes précités, la jurisprudence a régulièrement admis qu'un comportement contraire à une disposition légale peut, sans violation de la présomption d'innocence, être retenu pour justifier la mise à charge des frais, respectivement le refus d'indemnité, même si l'action pénale pour l'infraction correspondante n'a pas abouti à une condamnation (cf. TF 6B_143/2010 du 22 juin 2010 consid. 3.1 ; TF 1P.584/ 2006 du 22 décembre 2006 consid. 9.3 ; TF 1P.543/2001 du 1 er mars 2002 consid. 1.2).</w:t>
      </w:r>
    </w:p>
    <w:p>
      <w:r>
        <w:rPr>
          <w:b/>
        </w:rPr>
        <w:t>E. 5.3</w:t>
      </w:r>
    </w:p>
    <w:p>
      <w:r>
        <w:t>En l'espèce, même s'il on s'en tient aux seuls faits admis par C.G.________ (cf. consid. 3.3.1), le comportement de ce dernier doit être tenu pour illicite, dès lors qu'il est clairement contraire aux obligations résultant de l'art. 302 CC. Les faits admis excèdent en effet largement le droit de correction, qui doit toujours être la conséquence d'un comportement inadapté de l'enfant et intervenir dans un but éducatif (cf. ATF 129 IV 216 consid. 2.4). On précisera encore que les infractions n'étaient pas prescrites au moment où l'enquête a été ouverte, soit en 2012, même s'agissant d'éventuelles voies de fait. Enfin, l'appelant ne reproche nullement à l'autorité pénale un manque de célérité dans le déroulement de la procédure et ne saurait donc soutenir qu'elle a duré au-delà de ce qui était nécessaire. Il résulte de ce qui précède que l'entier des frais judiciaires de première instance, par 28'168 fr., doit être laissé à la charge de C.G.________.</w:t>
      </w:r>
    </w:p>
    <w:p>
      <w:r>
        <w:rPr>
          <w:b/>
        </w:rPr>
        <w:t>E. 6</w:t>
      </w:r>
    </w:p>
    <w:p>
      <w:r>
        <w:t>En définitive, l’appel de C.G.________ doit être partiellement admis et le jugement attaqué réformé dans le sens des considérants qui précèdent. Vu la mesure dans laquelle l'appelant obtient gain de cause, les frais de la procédure d'appel seront mis pour moitié à sa charge, le solde étant laissé à la charge de l’Etat (art. 428 al. 1, 1 ère phrase, CPP). Outre l'émolument de jugement, qui se monte à 2'680 fr. (art. 21 al. 1 et 2 TFIP [Tarif des frais de procédure et indemnités en matière pénale du 28 septembre 2010; RSV 312.03.1]), ces frais comprennent les indemnités allouées à son défenseur d’office et au conseil d'office de la partie plaignante. Au vu de la liste des opérations produite, c’est une indemnité de 1976 fr. 40, correspondant à 9 heures 30 d’activité à 180 fr. ainsi qu'à une vacation de 120 fr., plus la TVA, qui doit être allouée au défenseur d’office de C.G.________ pour la procédure d’appel. Quant au conseil d'office de B.G.________, elle doit se voir allouer, sur la base de la liste des opérations produite, une indemnité de 1'725 fr. 85, correspondant à 8 heures d’activité à 180 fr., une vacation à 120 fr. et 38 fr. de débours, plus la TVA. L'appelant ne sera tenu de rembourser à l’Etat la moitié du montant des indemnités prévues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