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246 vom 7. September 2015</w:t>
      </w:r>
    </w:p>
    <w:p>
      <w:r>
        <w:t>VD Tribunal cantonal, 2015-09-07, FR</w:t>
      </w:r>
    </w:p>
    <w:p>
      <w:r>
        <w:rPr>
          <w:b/>
        </w:rPr>
        <w:t xml:space="preserve">Quelle: </w:t>
      </w:r>
      <w:r>
        <w:t>https://mcp.opencaselaw.ch/entscheid/vd_findinfo_Jug___2016___246</w:t>
      </w:r>
    </w:p>
    <w:p>
      <w:r>
        <w:t>FR: VD_FINDINFO Jug / 2016 / 246 du 7 septembre 2015</w:t>
      </w:r>
    </w:p>
    <w:p>
      <w:r>
        <w:t>IT: VD_FINDINFO Jug / 2016 / 246 del 7 settembre 2015</w:t>
      </w:r>
    </w:p>
    <w:p>
      <w:pPr>
        <w:pStyle w:val="Heading2"/>
      </w:pPr>
      <w:r>
        <w:t>Regeste</w:t>
      </w:r>
    </w:p>
    <w:p>
      <w:r>
        <w:t>CIRCULATION ROUTIÈRE{DROIT DE LA CIRCULATION ROUTIÈRE}, PRINCIPE DE L'ACCUSATION, AMENDE | 106 CP, 26 al. 1 LCR, 27 al. 1 LCR, 90 al. 1 LCR, 14 al. 1 OCR, 325 al. 1 CPP (CH), 9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du Ministère public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w:t>
      </w:r>
    </w:p>
    <w:p>
      <w:r>
        <w:t>LCR). L'art. 14 al. 1 OCR (Ordonnance sur les règles de la circulation routière, RS 741.11) prévoit que celui qui est tenu d'accorder la priorité ne doit pas gêner dans sa marche le conducteur bénéficiaire de la priorité. Le bénéficiaire de la priorité est gêné dans sa marche au sens de cette disposition, lorsqu'il doit modifier brusquement sa manière de conduire, par exemple parce qu'il est brusquement contraint de freiner, d'accélérer ou de faire une manœuvre d'évitement sur l'intersection, voire peu avant ou peu après celle-ci, sans qu'il importe de savoir si une collision survient ou non. Cette restriction de la définition de l'action de gêner n'est pas de nature à vider de sa substance le droit de priorité, car ce n'est qu'exceptionnellement que l'on devra refuser d'admettre que le bénéficiaire de la priorité a été gêné d'une façon importante dans sa marche. L'importance de l'entrave au droit de priorité ne dépend pas du point de savoir si l'ayant droit l'a prévue et a réagi en conséquence (ATF 114 IV 146 ss).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consid. 4a p. 280; 104 IV 28 consid. 3 p. 30; 99 IV 173 consid. 3b p. 175).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savoir si et dans quelle mesure il pouvait se fonder sur le comportement de l'autre usager (ATF 120 IV 252 consid. 2d/aa p. 254; 100 IV 186 consid. 3 p. 189).</w:t>
      </w:r>
    </w:p>
    <w:p>
      <w:r>
        <w:rPr>
          <w:b/>
        </w:rPr>
        <w:t>E. 3.1.1</w:t>
      </w:r>
    </w:p>
    <w:p>
      <w:r>
        <w:t>Chacun doit se conformer aux signaux et aux marques ainsi qu'aux ordres de la police (art. 27 al. 1 LCR [Loi fédérale sur la circulation routière], RS 741.1). Avant d'obliquer à gauche, le conducteur accordera la priorité aux véhicules qui viennent en sens inverse (art. 36 al.</w:t>
      </w:r>
    </w:p>
    <w:p>
      <w:r>
        <w:rPr>
          <w:b/>
        </w:rPr>
        <w:t>E. 3.1.2</w:t>
      </w:r>
    </w:p>
    <w:p>
      <w:r>
        <w:t>L'art. 90 LCR prévoit que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dire si une violation d'une règle de la circulation doit être qualifiée de grave, il faut procéder à une appréciation aussi bien objective que subjective. Du point de vue objectif, l'auteur doit avoir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(ATF 131 IV 133 consid. 3.2 p. 136).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 également en aller ainsi en cas de simple ignorance (momentanée) de la mise en danger des intérêts d'autrui (ATF 131 IV 133 consid. 3.2 p. 136).</w:t>
      </w:r>
    </w:p>
    <w:p>
      <w:r>
        <w:rPr>
          <w:b/>
        </w:rPr>
        <w:t>E. 3.2</w:t>
      </w:r>
    </w:p>
    <w:p>
      <w:r>
        <w:t>Le premier juge a retenu que la version de l'automobiliste selon laquelle il n'aurait pas aperçu le motocycle parce que le phare avant de ce dernier se serait trouvé en droite ligne avec l'un des phares avant du véhicule qui le suivait était plausible, de sorte qu'on ne pouvait imputer une imprévoyance coupable à l'intimé. Ce raisonnement ne saurait être suivi. Entendu immédiatement après l'accident, le prévenu a déclaré qu'il descendait la rue [...], à une allure de 30-40 km/h, qu'il souhaitait s'engager dans l'aire de circulation sur sa gauche, qu'il a enclenché les indicateurs de direction gauches, qu'aucun usager n'arrivait en face, que la première voiture se trouvait vers les feux de l'avenue de Morges, qu'il a attendu quelques secondes avant de tourner à gauche et qu'en arrivant vers le trottoir, il s'est produit un choc sur le côté avant droit de son véhicule. Le motocycliste a déclaré, en date du 30 juillet 2013, que parvenu à la hauteur de l'immeuble n° 100, il a vu une voiture, arrivant en face de lui, soit en sens inverse, qui a tourné à gauche, pratiquement devant lui, qu'il a été totalement surpris par ce déplacement, qu'il n'a pas pu freiner, ni éviter cette automobile qui lui a clairement coupé la route et qui, selon lui, n'était même pas arrêtée. Lors de son audition du 6 février 2014, la victime a expliqué ne pas se souvenir si les phares de la voiture du prévenu étaient allumés, mais a affirmé que le clignoteur du véhicule du prévenu n'était pas enclenché au moment de tourner. Il a répété que la voiture n'avait pas marqué de temps d'arrêt avant de tourner tout en étant possible qu'il ait ralenti avant de prendre le virage. Au regard des déclarations précitées et des éléments du dossier, on doit admettre que le prévenu n'a tout simplement pas vu le motocycliste, qui était prioritaire, et qu'il lui a donc brusquement coupé la route. La version de l'intimé selon laquelle le phare avant du motocycliste se serait trouvé en droite ligne avec l'un des phares avant du véhicule n'est pas plausible au regard des premières déclarations du prévenu, qui n'a pas parlé de véhicule suivant immédiatement le motard. Par ailleurs, l'accident s'est déroulé en plein mois de juillet. Il ne faisait pas encore totalement nuit, conformément aux déclarations de X.________ (cf. PV aud. 1). De plus, selon le rapport de police, il y avait un éclairage public, qui était en fonction (cf. P. 5, p. 2). La route était rectiligne et la visibilité étendue. Par ailleurs, la victime n'a jamais cherché à accabler l'automobiliste. Ainsi, elle a relevé les éléments favorables au prévenu, comme le fait qu'il ne roulait pas à une vitesse excessive et qu'il était possible qu'il ait pu voir d'autre feux que les siens. Elle a en outre expliqué, devant le Tribunal de police, que son intérêt était avant tout « d'obtenir le remboursement de ses frais et non pas d'obtenir la condamnation pénale de X.________ ». Enfin, elle a finalement retiré sa plainte, au regard de l'accord intervenu. Sur le vu de ce qui précède, il est évident que X.________ aurait dû voir le motocycliste, ce d'autant plus qu'il a vu le premier véhicule, qui se trouvait vers les feux de l'avenue de Morges. Néanmoins, le prévenu n’a pas agi sans scrupules et  ne s’est ainsi pas rendu coupable d’une négligence grossière. Ainsi, faute de remplir l’élément subjectif de l’art. 90 al. 2 LCR, seule une violation simple de la circulation routière peut être imputée à X.________ (art. 90 al. 1 LCR). L’appel du Ministère public doit partiellement être admis.</w:t>
      </w:r>
    </w:p>
    <w:p>
      <w:r>
        <w:rPr>
          <w:b/>
        </w:rPr>
        <w:t>E. 4</w:t>
      </w:r>
    </w:p>
    <w:p>
      <w:r>
        <w:t>L'intimé a requis la mise en œuvre d'une expertise technique afin d'éclairer la Cour sur les circonstances de l'accident. Les éléments du dossier sont suffisants. Par ailleurs, on voit difficilement ce que pourrait apporter une expertise dans le cas d'espèce. Le moyen requis doit par conséquent être rejeté.</w:t>
      </w:r>
    </w:p>
    <w:p>
      <w:r>
        <w:rPr>
          <w:b/>
        </w:rPr>
        <w:t>E. 5</w:t>
      </w:r>
    </w:p>
    <w:p>
      <w:r>
        <w:t>L'intimé estime que l'appel du Ministère public viole le principe d'accusation en concluant à sa condamnation pour violation grave des règles de la circulation routière.</w:t>
      </w:r>
    </w:p>
    <w:p>
      <w:r>
        <w:rPr>
          <w:b/>
        </w:rPr>
        <w:t>E. 5.1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126 119 consid. 2a p. 21; 120 IV 348 consid. 2b p. 353). Des vices de moindre importance dans le cadre de ce principe peuvent être corrigés par la juridiction de seconde instance (Schubarth, in : Commentaire romand, Code de procédure pénale suisse, Bâle 2011, n. 15 ad art. 325 CPP).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(droit d'être entendu), de l'art. 32 al. 2 Cst. (droit d'être informé, dans les plus brefs délais et de manière détaillée, des accusations portées contre soi) et de l'art. 6 par. 3 let. a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rPr>
          <w:b/>
        </w:rPr>
        <w:t>E. 5.2</w:t>
      </w:r>
    </w:p>
    <w:p>
      <w:r>
        <w:t>Selon l'ordonnance pénale du 8 avril 2014, qui vaut acte d'accusation, l'intimé a été renvoyé pour lésions corporelles simples par négligence au sens de l'art. 125 al. 1 CP, la négligence ayant consisté dans la violation des art. 27 al. 1, 36 al. 3 LCR, 14 al. 1 OCR et 73 al. 6 OSR. Les parties ont passé une convention signée les 26 février et 4 mars 2015, au terme de laquelle [...] a retiré sa plainte à l'encontre de X.________. Par courrier du 13 mars 2015, l'autorité de première instance a informé le prévenu qu'elle prendrait acte, à bref délai, du retrait de plainte de [...], que le retrait de plainte ne mettrait pas fin à la procédure pénale puisque la violation des règles de la circulation routière se poursuivait d'office et qu'elle allait donc fixer la reprise d'audience. Par courrier du 2 juin 2015, le prévenu a été cité à comparaître pour violation simple des règles de la circulation routière. Au vu des éléments et dispositions légales précités, on doit relever que l'acte d'accusation était complet. Reste que la qualification initiale retenue par le procureur devait être écartée compte tenu du retrait de plainte intervenu en cours de procédure devant le Tribunal de police. Ce dernier a ensuite cité l'intéressé pour violation simple des règles de la circulation routière, seule infraction qui a finalement été retenue.</w:t>
      </w:r>
    </w:p>
    <w:p>
      <w:r>
        <w:rPr>
          <w:b/>
        </w:rPr>
        <w:t>E. 6.1</w:t>
      </w:r>
    </w:p>
    <w:p>
      <w:r>
        <w:t>La peine prévue pour l’infraction réprimée à l’art. 90 al. 1 CP est une amende. Selon l’art. 106 al. 1 CP, sauf disposition contraire de la loi, le montant maximum de l'amende est de 10 000 francs. A l'instar de toute autre peine, l'amende doit être fixée conformément à l'art. 47 CP (par renvoi de l’art. 104 CP). Selon cet article,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w:t>
      </w:r>
    </w:p>
    <w:p>
      <w:r>
        <w:rPr>
          <w:b/>
        </w:rPr>
        <w:t>E. 6.2</w:t>
      </w:r>
    </w:p>
    <w:p>
      <w:r>
        <w:t>En l’espèce, le prévenu, né en 1992, a deux antécédents judiciaires, dont un en matière de circulation routière. En outre, sa prise de conscience est très faible au regard de sa version des faits et des excuses qu'il se cherche pour ne pas avoir vu le motard. Au regard de ces éléments, il convient de lui infliger une amende de 600 francs assortie d’une peine privative de liberté de substitution de six jours (art. 106 al. 2 et 3 CP). Au vu de la condamnation du prévenu, il y a lieu de mettre les frais de première instance, arrêtés par le premier juge à 6'634 fr. (l’indemnité du défenseur d’office du prévenu, par 3'654 fr. 10, sous déduction de 849 fr. 95, étant comprise) à la charge de X.________ (art. 426 al. 1 CPP). Celui-ci ne sera tenu de rembourser à l’Etat le montant de l’indemnité en faveur de son défenseur d’office que lorsque sa situation financière le permettra (135 al. 4 CPP).</w:t>
      </w:r>
    </w:p>
    <w:p>
      <w:r>
        <w:rPr>
          <w:b/>
        </w:rPr>
        <w:t>E. 7</w:t>
      </w:r>
    </w:p>
    <w:p>
      <w:r>
        <w:t>En définitive, l’appel doit partiellement être admis et le jugement du 7 septembre 2015 modifié dans le sens des considérants qui précèdent. Une indemnité de défenseur d’office, pour la procédure d’appel d’un montant de 1'824 fr. 25, TVA et débours inclus, est allouée à Me Raphaël Brochellaz. Cette indemnité correspond à la liste des opérations produite par ce dernier lors de l’audience d’appel (P. 54). Vu l’issue de la cause, les frais de la procédure d’appel, constitués en l’espèce de l’émolument de jugement, par 1'610 fr. (art. 21 al. 1 TFIP [Tarif des frais de procédure et indemnités en matière pénale du 28 septembre 2010 ; RSV 312.03.1]) ainsi que de l’indemnité allouée à Me Raphaël Brochellaz, doivent être mis par moitié à la charge de X.________, le solde étant laissé à la charge de l’Etat. X.________ ne sera tenu de rembourser à l’Etat la moitié du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