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235 vom 14. April 2016</w:t>
      </w:r>
    </w:p>
    <w:p>
      <w:r>
        <w:t>VD Tribunal cantonal, 2016-04-14, FR</w:t>
      </w:r>
    </w:p>
    <w:p>
      <w:r>
        <w:rPr>
          <w:b/>
        </w:rPr>
        <w:t xml:space="preserve">Quelle: </w:t>
      </w:r>
      <w:r>
        <w:t>https://mcp.opencaselaw.ch/entscheid/vd_findinfo_Jug___2016___235</w:t>
      </w:r>
    </w:p>
    <w:p>
      <w:r>
        <w:t>FR: VD_FINDINFO Jug / 2016 / 235 du 14 avril 2016</w:t>
      </w:r>
    </w:p>
    <w:p>
      <w:r>
        <w:t>IT: VD_FINDINFO Jug / 2016 / 235 del 14 aprile 2016</w:t>
      </w:r>
    </w:p>
    <w:p>
      <w:pPr>
        <w:pStyle w:val="Heading2"/>
      </w:pPr>
      <w:r>
        <w:t>Regeste</w:t>
      </w:r>
    </w:p>
    <w:p>
      <w:r>
        <w:t>PROCÉDURE ÉCRITE, CONTRAVENTION, JUGE UNIQUE, LOI FÉDÉRALE SUR LA CIRCULATION ROUTIÈRE, POUVOIR D'EXAMEN LIMITÉ | 90 al. 1 LCR, 398 al. 4 CPP (CH), 406 al. 1 let. c CPP (CH)</w:t>
      </w:r>
    </w:p>
    <w:p>
      <w:pPr>
        <w:pStyle w:val="Heading2"/>
      </w:pPr>
      <w:r>
        <w:t>Erwägungen</w:t>
      </w:r>
    </w:p>
    <w:p>
      <w:r>
        <w:rPr>
          <w:b/>
        </w:rPr>
        <w:t>E. 10</w:t>
      </w:r>
    </w:p>
    <w:p>
      <w:r>
        <w:t>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 2.1.2 Selon l’art. 90 al. 1 LCR, celui qui viole les règles de la circulation prévues par la présente loi ou par les dispositions d'exécution émanant du Conseil fédéral est puni de l'amende. Aux termes de l’art. 27 al. 1 LCR, chacun se conformera aux signaux et aux marques ainsi qu'aux ordres de la police. Les signaux et les marques priment les règles générales; les ordres de la police ont le pas sur les règles générales, les signaux et les marques. Selon l’art. 34 al. 2 LCR, les véhicules circuleront toujours à droite des lignes de sécurité tracées sur la chaussée. Aux termes de l’art. 36 al. 1 OCR (ordonnance sur les règles de la circulation routière ; RS 741.11), sur les autoroutes et semi-autoroutes, il n'est permis d'obliquer qu'aux endroits signalés à cet effet. Il est interdit de faire demi-tour et marche arrière. Selon l’art. 73 al. 6 let. a OSR (ordonnance sur la signalisation routière du 5 septembre 1979 ; RS 741.21), il est interdit aux véhicules de franchir les lignes de sécurité et les doubles lignes de sécurité ou d’empiéter sur elles. 2.2 Pour forger sa conviction, le premier juge s’est appuyé sur le rapport d’intervention établi par les gardes-frontières (P. 4/1) et les déclarations de R.________ (P. 4/15 et 4/16), estimant qu’il n’y avait aucune raison de les mettre en doute. Il a en outre considéré que les circonstances de l’interpellation de S.________ permettaient de retenir qu’il était effectivement au volant du véhicule Audi A1 portant l’inscription «  [...]» et que le comportement décrit de la voiture observée correspondait bien à celui d’un automobiliste frontalier connaissant le réseau routier local et les possibilités d’éviter un embouteillage. Il retient également qu’il est surprenant que le prévenu, s’il n’avait rien à se reprocher, n’ait pas davantage protesté lors de son interpellation, compte tenu du temps durant lequel il a été maintenu au poste, soit plus d’une heure. Enfin, le premier juge a souligné que l’appelant avait déjà démontré par le passé sa propension à ne pas respecter le code de la route, vu son casier judiciaire (cf. jgt, pp. 12 à 16). 2.3 L’appelant fait valoir que le Tribunal de police a fait preuve d’arbitraire dans l’établissement des faits et qu’il n’aurait commis aucune infraction. 2.3.1 D’abord, S.________ prétend que le demi-tour qu’il aurait effectué peu après Lignerolle, alors qu’il circulait en direction de Vallorbe, – et qui conditionne, à son sens, la réalisation de l’infraction observée par les gardes-frontières à la hauteur de la semi-jonction des Clées – aurait été arbitrairement retenu par le premier juge, dès lors qu’il ne repose sur aucune constatation ou preuve. En réalité, cet élément n’est pas à proprement parler un fait au sens des art. 393 al. 2 let. b ou 398 al. 3 let. b CPP qui servirait de base ou qui fonderait l’application du droit, soit in casu une contravention à la LCR. Le demi-tour sur route peu après Lignerolle qui, il est vrai, n’a été constaté ni par les douaniers ni par quiconque, n’a fait l’objet d’aucune accusation ou condamnation, mais résulte au contraire d’une déduction logique permettant d’expliquer rationnellement le sens de circulation initial du conducteur, sa manœuvre illicite et son mobile. Ce n’est donc pas un fait au sens procédural, mais bien une hypothèse raisonnable, qui ne peut faire l’objet d’un constat arbitraire. 2.3.2 Ensuite, l’appelant considère que le premier juge aurait arbitrairement constaté que le comportement contraventionnel du conducteur observé correspondrait à celui d’un frontalier connaissant la région. Il fait valoir qu’un tel conducteur, constatant les embouteillages, aurait au contraire renoncé à passer par la douane de Vallorbe pour se rendre en France et aurait rejoint celle de l’Auberson. Pour démontrer ce moyen, S.________ se réfère à une nouvelle pièce, produite en procédure d’appel, qui est, partant, irrecevable. Au demeurant, il n’y a, à l’évidence, rien d’arbitraire à constater qu’un automobiliste connaissant le réseau routier régional puisse être tenté de gagner du temps en remontant le tronçon d’une semi-autoroute, encombré d’embouteillages, par la route cantonale pour parvenir à la douane de Vallorbe, au lieu de faire le détour considérable et moins roulant via Sainte-Croix. Le jugement n’est par conséquent pas arbitraire sur ce point. 2.3.3 Selon S.________, le premier juge aurait également arbitrairement constaté que l’employeur de l’appelant ne possédait que huit véhicules du type de celui impliqué dans les faits et que la moitié des employés frontaliers de [...] habitaient la région genevoise. Il fait ainsi valoir, par la production d’une pièce nouvelle, que ladite société disposerait en réalité de quatorze voitures Audi A1, toutes identiques, et emploierait huit frontaliers vivant dans le département du Doubs, en France. L’exactitude de ce constat repose ici encore sur des nouvelles pièces produites par S.________, qui sont dès lors irrecevables. Pour le surplus, on se bornera à relever que c’est l’appelant lui-même qui avait déclaré, lors des débats de première instance, que la moitié des frontaliers de [...] venait de la région genevoise. 2.3.4 L’appelant soutient aussi qu’il est arbitraire d’avoir retenu qu’aucune interception d’un véhicule de la société [...] n’avait eu lieu quinze minutes avant celle de sa propre voiture ou après. Sur ce point encore, S.________ oppose au contenu du jugement des pièces irrecevables. On relèvera toutefois que les gardes-frontières, constatant la contravention, en ont immédiatement informé leurs collègues du poste frontière. Dans ces circonstances, le passage d’une voiture identique - qui plus est facilement descriptible et reconnaissable - avant ou après l’interception de l’appelant peut être exclu (cf. jgt, p. 13), vu le signalement émis. Ce constat n’a rien d’arbitraire. 2.3.5 L’appelant fait aussi valoir qu’aucun élément du dossier ne permet d’établir l’identité du douanier à qui il aurait déclaré admettre l’infraction qui lui est reprochée. Cette critique est vaine dès lors que le jugement de première instance ne retient précisément pas les aveux de S.________ retranscrits et relatés par les douaniers (cf. jgt, p. 14 in fine), puisqu’il n’avait formellement pas été informé de ses droits. 2.3.6 Relevant enfin que le premier juge a retenu, comme indices de culpabilité, certains aspects insolites du comportement de S.________ durant son interpellation - notamment sa placidité et son absence de protestation -, l’appelant fait valoir qu’il n’avait aucun motif de s’en prendre aux gardes-frontières et qu’il serait toujours en mesure de se plaindre pénalement du traitement qui lui a été réservé le jour des faits. Sur ce point, l’appelant ne démontre pas le caractère arbitraire du contenu du jugement. 3. Au vu de l’ensemble des considérations qui précèdent, c’est à juste titre que le premier juge a considéré que les circonstances de l’interception de S.________ permettaient de retenir qu’il était bien au volant du véhicule Audi A1 portant l’inscription [...] qui a franchi la double ligne de sécurité à la hauteur des Clées. Sa conviction ne comporte aucun doute, s’avère soigneusement et solidement motivée et ne peut qu’être partagée et, partant, confirmée. C’est donc à juste titre que S.________ a été condamné pour violation simple des règles de la circulation routière pour avoir violé les art. 27 al. 1, 34 al. 2 LCR, 73 al. 6 let. a OSR et 36 OCR et qu’aucune indemnité au titre de l’art. 429 CPP ne lui a été allouée. Pour le surplus, le montant de l’amende, examiné d’office, ne prête pas flanc à la critique. 4 . En définitive, l’appel de S.________ doit être rejeté et le jugement attaqué confirmé. Dès lors, il n’y a pas lieu de lui allouer une indemnité pour ses frais de défense dans le cadre de la procédure d’appel. Vu l'issue de la cause, les frais de la procédure d’appel, constitués du seul émolument de jugement, par 900 fr. (art. 21 al. 1 TFIP [tarif des frais de procédure et indemnités en matière pénale du 28 septembre 2010; RSV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