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230 vom 27. April 2016</w:t>
      </w:r>
    </w:p>
    <w:p>
      <w:r>
        <w:t>VD Tribunal cantonal, 2016-04-27, FR</w:t>
      </w:r>
    </w:p>
    <w:p>
      <w:r>
        <w:rPr>
          <w:b/>
        </w:rPr>
        <w:t xml:space="preserve">Quelle: </w:t>
      </w:r>
      <w:r>
        <w:t>https://mcp.opencaselaw.ch/entscheid/vd_findinfo_Jug___2016___230</w:t>
      </w:r>
    </w:p>
    <w:p>
      <w:r>
        <w:t>FR: VD_FINDINFO Jug / 2016 / 230 du 27 avril 2016</w:t>
      </w:r>
    </w:p>
    <w:p>
      <w:r>
        <w:t>IT: VD_FINDINFO Jug / 2016 / 230 del 27 aprile 2016</w:t>
      </w:r>
    </w:p>
    <w:p>
      <w:pPr>
        <w:pStyle w:val="Heading2"/>
      </w:pPr>
      <w:r>
        <w:t>Regeste</w:t>
      </w:r>
    </w:p>
    <w:p>
      <w:r>
        <w:t>CIRCULATION ROUTIÈRE{DROIT DE LA CIRCULATION ROUTIÈRE}, DROIT D'ÊTRE ENTENDU, APPRÉCIATION ANTICIPÉE DES PREUVES | 29 al. 2 Cst., 3 al. 2 let. c CPP (CH)</w:t>
      </w:r>
    </w:p>
    <w:p>
      <w:pPr>
        <w:pStyle w:val="Heading2"/>
      </w:pPr>
      <w:r>
        <w:t>Erwägungen</w:t>
      </w:r>
    </w:p>
    <w:p>
      <w:r>
        <w:rPr>
          <w:b/>
        </w:rPr>
        <w:t>E. 1.1</w:t>
      </w:r>
    </w:p>
    <w:p>
      <w:r>
        <w:t>Interjeté dans les formes et délai légaux (art. 399 CPP [ Code de procédure pénale suisse du 5 octobre 2007 ; RS 312.0 ] ) par une partie ayant la qualité pour recourir contre le jugement d’un tribunal de première instance ayant clos la procédure (art. 398 al. 1 CPP), l’appel d’O.________ est recevable.</w:t>
      </w:r>
    </w:p>
    <w:p>
      <w:r>
        <w:rPr>
          <w:b/>
        </w:rPr>
        <w:t>E. 1.2</w:t>
      </w:r>
    </w:p>
    <w:p>
      <w:r>
        <w:t>S’agissant d’un appel dirigé contre une contravention, la procédure écrite est applicable (art. 406 al. 1 let. c CPP) et la cause relève de la compétence d’un juge unique (art. 14 al. 3 LVCPP [Loi d'introduction du Code de procédure pénale suisse du 19 mai 2009 ; RSV 312.01]).</w:t>
      </w:r>
    </w:p>
    <w:p>
      <w:r>
        <w:rPr>
          <w:b/>
        </w:rPr>
        <w:t>E. 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w:t>
      </w:r>
    </w:p>
    <w:p>
      <w:r>
        <w:rPr>
          <w:b/>
        </w:rPr>
        <w:t>E. 3</w:t>
      </w:r>
    </w:p>
    <w:p>
      <w:r>
        <w:t>En l’espèce, O.________ ne conteste pas la matérialité des faits qui sont retenus par le jugement attaqué. Il admet ainsi avoir circulé au volant d’un véhicule automobile et avoir dépassé de 26 km/h la vitesse autorisée de 60 km/h sur le tronçon concerné. Il ne remet pas davantage en cause la qualification juridique de violation simple des règles de la circulation routière. Ces éléments peuvent par conséquent être tenus pour constants.</w:t>
      </w:r>
    </w:p>
    <w:p>
      <w:r>
        <w:rPr>
          <w:b/>
        </w:rPr>
        <w:t>E. 4</w:t>
      </w:r>
    </w:p>
    <w:p>
      <w:r>
        <w:t>L’appelant critique en revanche le refus du premier juge d’ordonner l’expertise tendant à déterminer l’exactitude de l’indication de la vitesse du véhicule Seat qu’il a requise et soutient que ce refus constituerait une violation de son droit d’être entendu et du principe in dubio pro reo . En conséquence, l’appelant considère que l’était de fait ressortant du jugement attaqué aurait été établi en violation du droit au sens de l’art. 398 al. 4 CPP.</w:t>
      </w:r>
    </w:p>
    <w:p>
      <w:r>
        <w:rPr>
          <w:b/>
        </w:rPr>
        <w:t>E. 4.1</w:t>
      </w:r>
    </w:p>
    <w:p>
      <w:r>
        <w:t>L’art. 3 al. 2 let. c CPP prévoit qu’à tous les stades de la procédure, les autorités pénales se conforment à la maxime voulant qu’un traitement équitable et le droit d’être entendu soient garantis à toute les personnes touchées par la procédure. En vertu de l’art. 107 al. 1 let. e CPP, une partie peut, en se prévalant de son droit d’être entendu, déposer des propositions relatives aux moyens de preuves notamment. Selon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D’après la jurisprudence, le refus d'instruire ne viole ainsi le droit d'être entendu des parties que si l'appréciation anticipée de la pertinence du moyen de preuve offert, à laquelle le juge a procédé, est entachée d'arbitraire (TF 6B_496/2012 du 18 avril 2013 consid. 6.1 ; TF 1B_112/2012 du 6 décembre 2012 consid. 2.1).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 Conformément à l’art. 310 CPP,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4.2</w:t>
      </w:r>
    </w:p>
    <w:p>
      <w:r>
        <w:t>Contrairement à ce que soutient l’appelant, le refus des autorités précédentes d’ordonner l’expertise du véhicule est justifié. Cette requête a été présentée pour la première fois par le défenseur de l’appelant par courrier à la Préfecture du 2 novembre 2015, soit près de cinq mois après que l’ordonnance pénale a été rendue et plus de neuf mois et demi après les faits. En septembre 2015, O.________ a obtenu que soient ordonnées toutes les mesures d’instruction qu’il a sollicitées et qui portaient exclusivement sur la fiabilité du radar et la formation du personnel de police ayant opéré au contrôle. Assisté d’un mandataire professionnel, l’appelant a démontré qu’il était en mesure de requérir les mesures d’instruction qu’il tenait pour adéquates. Il n’a jamais demandé quelque mesure d’instruction que ce soit sur le véhicule Seat qu’il a conduit jusqu’en novembre 2015. Or, aussi longtemps après les faits, une expertise n’aurait en aucun cas pu se prononcer sur l’état du tachygraphe au moment où l’infraction a été commise. Une telle expertise n’aurait en effet que pu révéler des mesures au jour où elles auraient été effectuées, ce qui n’est évidemment pas déterminant. La mesure d’instruction requise était donc impropre à établir un fait que l’appelant veut aujourd’hui tenir pour acquis et dont il entend se prévaloir, à savoir la fausseté des indications du compteur de vitesse. C’est par conséquent à juste titre que le premier juge a considéré que l’appelant aurait dû se questionner sur le problème un peu plus tôt (jgt, p. 7). En refusant à bon droit la mesure d’instruction dénuée de pertinence qui était demandée, le tribunal n’a ainsi ni sombré dans l’arbitraire, ni violé le droit d’être entendu de l’appelant, ni méconnu le principe in dubio pro reo .</w:t>
      </w:r>
    </w:p>
    <w:p>
      <w:r>
        <w:rPr>
          <w:b/>
        </w:rPr>
        <w:t>E. 5</w:t>
      </w:r>
    </w:p>
    <w:p>
      <w:r>
        <w:t>Il résulte de ce qui précède que la condamnation de l’appelant par le tribunal de première instance à une amende de 600 fr., afin de réprimer la contravention à l’art. 90 al. 1 LCR commise, doit être confirmée. La quotité de l’amende, usuelle, est adéquate compte tenu de l’ensemble des circonstances de l’affaire et de la faute commise. Il en va de même en ce qui concerne la peine privative de liberté de substitution.</w:t>
      </w:r>
    </w:p>
    <w:p>
      <w:r>
        <w:rPr>
          <w:b/>
        </w:rPr>
        <w:t>E. 6</w:t>
      </w:r>
    </w:p>
    <w:p>
      <w:r>
        <w:t>En définitive, l’appel interjeté par O.________ doit être rejeté et le jugement entrepris intégralement confirmé. Vu le sort de la procédure, les frais d’appel, comprenant l’émolument d’arrêt, par 630 fr. (art. 21 al. 1 TFIP  [Tarif des frais de procédure et indemnités en matière pénale du 28 septembre 2010 ; RSV 312.03.1]), doivent être mis à la charge d’O.________ (art. 428 al.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