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 vom 16. Oktober 2015</w:t>
      </w:r>
    </w:p>
    <w:p>
      <w:r>
        <w:t>VD Tribunal cantonal, 2015-10-16, FR</w:t>
      </w:r>
    </w:p>
    <w:p>
      <w:r>
        <w:rPr>
          <w:b/>
        </w:rPr>
        <w:t xml:space="preserve">Quelle: </w:t>
      </w:r>
      <w:r>
        <w:t>https://mcp.opencaselaw.ch/entscheid/vd_findinfo_Jug___2016___23</w:t>
      </w:r>
    </w:p>
    <w:p>
      <w:r>
        <w:t>FR: VD_FINDINFO Jug / 2016 / 23 du 16 octobre 2015</w:t>
      </w:r>
    </w:p>
    <w:p>
      <w:r>
        <w:t>IT: VD_FINDINFO Jug / 2016 / 23 del 16 ottobre 2015</w:t>
      </w:r>
    </w:p>
    <w:p>
      <w:pPr>
        <w:pStyle w:val="Heading2"/>
      </w:pPr>
      <w:r>
        <w:t>Regeste</w:t>
      </w:r>
    </w:p>
    <w:p>
      <w:r>
        <w:t>CIRCULATION ROUTIÈRE{DROIT DE LA CIRCULATION ROUTIÈRE}, LOI FÉDÉRALE SUR LA CIRCULATION ROUTIÈRE | 34 CP, 46 al. 2 CP, 47 CP, 50 CP, 90 al. 2 LCR</w:t>
      </w:r>
    </w:p>
    <w:p>
      <w:pPr>
        <w:pStyle w:val="Heading2"/>
      </w:pPr>
      <w:r>
        <w:t>Erwägungen</w:t>
      </w:r>
    </w:p>
    <w:p>
      <w:r>
        <w:rPr>
          <w:b/>
        </w:rPr>
        <w:t>E. 4</w:t>
      </w:r>
    </w:p>
    <w:p>
      <w:r>
        <w:t>Il reste à examiner la peine à fixer à M.________.</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Le droit au sursis s'examine selon les critères posés à l'art. 42 CP qui ont été rappelés dans l'arrêt publié aux ATF 135 IV 180 consid. 2.1. Il y est renvoyé. Le sursis est désormais la règle dont on ne peut s'écarter qu'en présence d'un pronostic défavorable. Il prime en cas d'incertitude (ATF 134 IV 5 consid. 4.2.2).</w:t>
      </w:r>
    </w:p>
    <w:p>
      <w:r>
        <w:rPr>
          <w:b/>
        </w:rPr>
        <w:t>E. 4.2</w:t>
      </w:r>
    </w:p>
    <w:p>
      <w:r>
        <w:t>La culpabilité de M.________ n’est pas négligeable si l'on considère les circonstances dans lesquelles a eu lieu l'excès de vitesse incriminé. S'il est vrai que les infractions à la LCR commises par l'appelant sont relativement anciennes (2009 et 2011), on constate que les peines infligées (dont une pour un dépassement de vitesse de 25 km/h en Ville de Genève en 2009; jugement p. 6) n’ont pas suffi à rendre l'intéressé plus attentif à sa vitesse, pas davantage à le détourner de toute nouvelle infraction à la LCR dans le délai d’épreuve imparti en 2011. Dans ces conditions, seule une peine ferme se justifie, le prévenu ne remplissant pas les conditions objectives et subjectives pour l’octroi d’un nouveau sursis. Une peine pécuniaire de 20 jours-amende est adéquate pour sanctionner le comportement de l'appelant . La valeur du jour-amende sera fixée à 70 fr. le jour pour tenir compte de la situation économique de l'appelant au moment du jugement (art. 34 CP; ATF 134 IV 1 consid. 4.2.1).</w:t>
      </w:r>
    </w:p>
    <w:p>
      <w:r>
        <w:rPr>
          <w:b/>
        </w:rPr>
        <w:t>E. 4.3</w:t>
      </w:r>
    </w:p>
    <w:p>
      <w:r>
        <w:t>Au vu de ces éléments, la peine infligée en première instance doit être confirmée.</w:t>
      </w:r>
    </w:p>
    <w:p>
      <w:r>
        <w:rPr>
          <w:b/>
        </w:rPr>
        <w:t>E. 5</w:t>
      </w:r>
    </w:p>
    <w:p>
      <w:r>
        <w:t>En définitive, l'appel de M.________ doit être rejeté et le jugement attaqué confirmé.</w:t>
      </w:r>
    </w:p>
    <w:p>
      <w:r>
        <w:rPr>
          <w:b/>
        </w:rPr>
        <w:t>E. 6.1</w:t>
      </w:r>
    </w:p>
    <w:p>
      <w:r>
        <w:t>Vu le sort de l'appel, les frais de seconde instance par 1'280 fr., constitués en l’espèce de l'émolument d’arrêt (art. 21 al. 1 et 2 TFIP [Tarif des frais de procédure et indemnités en matière pénale du 28 septembre 2010 ; RSV 312.03.1]), seront mis à la charge de M.________, qui succombe (art. 428 al. 1 CPP).</w:t>
      </w:r>
    </w:p>
    <w:p>
      <w:r>
        <w:rPr>
          <w:b/>
        </w:rPr>
        <w:t>E. 6.2</w:t>
      </w:r>
    </w:p>
    <w:p>
      <w:r>
        <w:t>La condamnation de M.________ ayant été confirmée, le droit à une indemnité pour les dépenses occasionnées par l'exercice raisonnable de ses droits en procédure (que l'appelant n'a au demeurant pas chiffrée) doit être nié (art.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