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226 vom 7. März 2016</w:t>
      </w:r>
    </w:p>
    <w:p>
      <w:r>
        <w:t>VD Tribunal cantonal, 2016-03-07, FR</w:t>
      </w:r>
    </w:p>
    <w:p>
      <w:r>
        <w:rPr>
          <w:b/>
        </w:rPr>
        <w:t xml:space="preserve">Quelle: </w:t>
      </w:r>
      <w:r>
        <w:t>https://mcp.opencaselaw.ch/entscheid/vd_findinfo_Jug___2016___226</w:t>
      </w:r>
    </w:p>
    <w:p>
      <w:r>
        <w:t>FR: VD_FINDINFO Jug / 2016 / 226 du 7 mars 2016</w:t>
      </w:r>
    </w:p>
    <w:p>
      <w:r>
        <w:t>IT: VD_FINDINFO Jug / 2016 / 226 del 7 marzo 2016</w:t>
      </w:r>
    </w:p>
    <w:p>
      <w:pPr>
        <w:pStyle w:val="Heading2"/>
      </w:pPr>
      <w:r>
        <w:t>Regeste</w:t>
      </w:r>
    </w:p>
    <w:p>
      <w:r>
        <w:t>DISCRIMINATION RACIALE | 261bis CP</w:t>
      </w:r>
    </w:p>
    <w:p>
      <w:pPr>
        <w:pStyle w:val="Heading2"/>
      </w:pPr>
      <w:r>
        <w:t>Erwägungen</w:t>
      </w:r>
    </w:p>
    <w:p>
      <w:r>
        <w:rPr>
          <w:b/>
        </w:rPr>
        <w:t>E. 1</w:t>
      </w:r>
    </w:p>
    <w:p>
      <w:r>
        <w:t>. Interjeté dans les formes et délais légaux (art. 399 CPP) par une partie ayant la qualité pour recourir (art. 382 CPP) contre le jugement d’un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sa condamnation pour discrimination raciale. Il considère que le tribunal se serait livré à une appréciation arbitraire des preuves, qu’il aurait interprétées uniquement à charge, et que la décision du tribunal de première instance serait insuffisamment motivée. En particulier, il soutient que ses propos devraient être appréciés dans le contexte particulier qui était celui des heures qui ont suivi l'attentat dont a été victime la rédaction du journal Charlie Hebdo, qu’ils n’auraient pas été dirigés contre l’ensemble des musulmans, mais uniquement contre un groupuscule terroriste, et que le tribunal n’aurait notamment pas tenu compte du témoignage de R.________, officier à l’armée, selon lequel l’appelant n’aurait jamais rencontré de problème avec les recrues de religion musulmane pendant son service militaire.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136 III 552 consid. 4.2).</w:t>
      </w:r>
    </w:p>
    <w:p>
      <w:r>
        <w:rPr>
          <w:b/>
        </w:rPr>
        <w:t>E. 3.2.2</w:t>
      </w:r>
    </w:p>
    <w:p>
      <w:r>
        <w:t>L'art. 261 bis al. 1 CP déclare punissable celui qui, publiquement, aura incité à la haine ou à la discrimination envers une personne ou un groupe de personnes en raison de leur appartenance raciale, ethnique ou religieuse. Il faut considérer comme public tout propos ou comportement qui n’a pas lieu dans le cadre privé. Sont considérés comme privés, les propos qui ont lieu dans le cercle familial ou des amis ou dans un environnement de relations personnelles ou de confiance particulière. Savoir si cette condition est remplie dépend des circonstances concrètes, parmi lesquelles le nombre de personnes présentes peut jouer un rôle (ATF 130 IV 111, JdT 2005 IV 292). Dans un ancien arrêt, le Tribunal fédéral avait jugé que des déclarations antisémites contenues dans une lettre adressée à 432 personnes remplissaient cette condition de publicité (ATF 123 IV 202, JT 1999 IV 34). La jurisprudence est toutefois devenue encore plus large en ce sens qu’il suffit que le comportement reproché ne reste pas limité au cercle privé étroit que le législateur a voulu exclure de la punissabilité (ATF 130 IV 111, JdT 2005 IV 292 ; Dupuis et al., Petit commentaire du code pénal, 2012, nn. 18 et 19 ad art. 261 bis). Ainsi, a été considéré comme publique  une manifestation réunissant 40 à 50 personnes qui ne se connaissaient pas toutes entre elles dans un refuge en forêt où seuls étaient agréés ceux qui pouvaient présenter une invitation écrite, et où un contrôle d’accès a eu lieu. Il faut encore que le message, quelle qu'en soit la forme ou le support, s'en prenne à une ou plusieurs personnes en raison de leur appartenance raciale, ethnique ou religieuse. La liste est exhaustive (TF 6B_1017/2014 du 3 novembre 2015, consid. 2.1.1 et les réf. citées). Par religion, on vise un groupe de personnes qui se différencient par leurs croyances transcendantales communes (ibidem). Dans un arrêt récent, le Tribunal fédéral a précisé que pour déterminer le contenu d'un message, il convient de se livrer à un examen au cas par cas, en fonction du contexte concret et de la manière dont le destinataire moyen comprendrait la déclaration (TF 6B_1017/2014 du 3 novembre 2015, consid. 2.1.1). Le message, adressé publiquement, doit inciter à la haine ou à la discrimination en raison de l'appartenance raciale, ethnique ou religieuse des personnes visées. Par inciter, il faut entendre le fait d'éveiller le sentiment de haine ou d'appeler à la discrimination. La discrimination consiste à traiter injustement de façon moins favorable (ATF 124 IV 121 consid. 2b). Par haine, on entend une aversion telle qu'elle pousse à vouloir le mal de quelqu'un ou à se réjouir du mal qui lui arrive (ATF 126 IV 20 consid. 1f p. 28). La loi ne décrit pas plus précisément le contenu du message ; il suffit que le message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(TF 6S.148/2003 du 16 septembre 2003 consid. 2.5). Au plan subjectif, l'infraction sanctionnée par l'art. 261 bis al. 1 CP suppose un comportement intentionnel ; le dol éventuel suffit (ATF 123 IV 202 consid. 4c et 124 IV 121 consid. 2b).</w:t>
      </w:r>
    </w:p>
    <w:p>
      <w:r>
        <w:rPr>
          <w:b/>
        </w:rPr>
        <w:t>E. 3.3.1</w:t>
      </w:r>
    </w:p>
    <w:p>
      <w:r>
        <w:t>En l’espèce, la publicité du message ne fait aucun doute. En effet, comme l’a à juste titre relevé le tribunal de première instance, le message publié sur Facebook aurait pu être vu par tous les contacts de l’appelant, soit 401 en 2013 et quelques centaines de personnes en 2015 selon le prévenu. En publiant ce statut sur son réseau social, l’appelant a perdu le contrôle du nombre de destinataires et l’on ne se trouvait manifestement plus dans un cercle familial ou composés d’amis, ni même dans un environnement de relations personnelles ou de confiance particulière. En effet, les centaines d’« amis » de l’appelant sur Facebook susceptibles d’avoir pris connaissance du message ne sauraient être considérés comme un groupe ayant des relations personnelles et de confiance particulière. Ces personnes ne se connaissaient pas toutes entre elles et le rapport de confiance n’est manifestement pas réalisé. A cet égard, on relèvera en particulier que l’un des contacts au moins de l’appelant a été offusqué par les propos de l’appelant et l’a dénoncé (P. 4). Au vu de l’ensemble de ces éléments, la condition de publicité est donc manifestement réalisée.</w:t>
      </w:r>
    </w:p>
    <w:p>
      <w:r>
        <w:rPr>
          <w:b/>
        </w:rPr>
        <w:t>E. 3.3.2</w:t>
      </w:r>
    </w:p>
    <w:p>
      <w:r>
        <w:t>S’agissant du terme "muzz" utilisé par le recourant, il y a lieu de relever que la seule définition de ce mot ressort du wiktionnaire, selon laquelle "muzz" est un "apocope de musulman, la consonne finale étant inspirée de la prononciation plutôt que de la graphie originelle" (Wiktionnaire, dictionnaire sur internet, https://fr.wiktionary.org/, " définition du mot « muzz »", ajouté le 23 décembre 2013). Au sens usuel, ce mot se réfère donc bien à l'ensemble des musulmans, sans distinction d'une quelconque appartenance à une association terroriste. L'appelant ne se prévaut d'ailleurs pas d'autres sources susceptibles d'accréditer sa définition selon laquelle ce terme ferait référence à un groupuscule islamiste terroriste, si ce n'est l'interprétation de R.________, qui n'est pas relevante, dès lors que celui-ci n'est pas linguiste et qu'il donne une définition de ce mot qui l'arrange étant rappelé qu'il a également réagi de manière virulente au statut litigieux sur le compte Facebook de l'appelant. Pour le surplus, on ne saurait octroyer à ce témoignage une force probante accrue au sujet de la prétendue absence de volonté xénophobe de l'appelant, dès lors que ce n'est pas parce que X.________ n'a pas rencontré de problèmes avec les éventuelles recrues musulmanes durant son service militaire, que l'on doit en déduire qu'il n'est pas susceptible de manifester des intentions racistes. L'appelant prétend encore que le tribunal n'aurait pas tenu compte du contexte particulier dans lequel il a publié le statut litigieux et de l'incidence de ce contexte sur la signification à donner à son message. Si l'on doit certes reconnaître que le statut Facebook de X.________ a été publié quelques heures après l'attentat qui a visé la rédaction de Charlie Hebdo le matin du 7 janvier 2015, il y a lieu de relever que la première partie du message, à savoir le fait que l'appelant se proposait d’organiser une nouvelle "Kristallnacht", fait également référence à toute une communauté religieuse. En effet, cet événement historique représente l'un des points culminants de la vague antisémite qui a submergé l'Allemagne dès l'arrivée des nazis au pouvoir en janvier 1933. Lors de cette nuit des 9 et 10 novembre 1938, sur tout le territoire du Reich, plusieurs milliers de juifs ont été massacrés ou déportés uniquement sur le critère de leur religion. En définitive, il y a lieu de retenir qu'en utilisant le terme "muzz" et en y ajoutant une référence à la "Kristallnacht", l'appelant, motivé par des sentiments haineux, a à tout le moins contribué, dans le contexte particulier et délicat des attentats du 7 janvier 2015, à entretenir l'amalgame entre musulmans et islamistes terroristes. Ainsi, pour les destinataires moyens que sont les centaines de personnes susceptibles d'avoir lu le statut Facebook litigieux, tant le mot « muzz » que l'évènement historique dont X.________ se proposait d'organiser une nouvelle édition faisaient référence à la communauté religieuse musulmane dans son ensemble, sans distinction. Le fait de proposer d’aller "brûler du « muzz »" ne dénote ainsi aucune ambiguïté mais révèle clairement une incitation à la haine ou à la discrimination d'un groupe religieux, soit en l'espèce les musulmans. En ajoutant quelques heures plus tard que son "P226" et son "calibre 12" (fusil à pompe) allaient bientôt arriver, l'appelant n'a fait que confirmer l’agressivité des propos et la violence des actes suggérés. Par conséquent, le message de l'appelant était propre à éveiller la haine envers un groupe de personnes en raison de leur appartenance religieuse. Le recourant a certes supprimé ses publications après coup, mais cet élément ne saurait toutefois rendre licites les actes qu'il a commis.</w:t>
      </w:r>
    </w:p>
    <w:p>
      <w:r>
        <w:rPr>
          <w:b/>
        </w:rPr>
        <w:t>E. 3.3.3</w:t>
      </w:r>
    </w:p>
    <w:p>
      <w:r>
        <w:t>Contrairement à ce qu'il prétend, l'appelant ne peut se prévaloir du climat de tension extrême de la journée du 7 janvier 2015 pour justifier la publication des messages litigieux. En effet, il y a lieu de constater que les attentats se sont produits dans la matinée du 7 janvier 2015. Or, X.________ a publié une première fois à 18h20, mais surtout il a renchéri à 21h21. Il avait donc manifestement pour but que ces messages soient lus et son acte, dicté par des mobiles de discrimination religieuse, visait à galvaniser les utilisateurs du réseau social. Pour le surplus, le texte du message était suffisamment éloquent pour que X.________ n'ait pu qu'avoir conscience et volonté du sens du message qu'il propageait. L’élément subjectif de l’infraction est donc réalisé.</w:t>
      </w:r>
    </w:p>
    <w:p>
      <w:r>
        <w:rPr>
          <w:b/>
        </w:rPr>
        <w:t>E. 3.3.4</w:t>
      </w:r>
    </w:p>
    <w:p>
      <w:r>
        <w:t>En définitive, tous les éléments constitutifs de l’infraction de discrimination raciale sont donc réalisés et la condamnation de l’appelant pour ce motif doit être confirmée.</w:t>
      </w:r>
    </w:p>
    <w:p>
      <w:r>
        <w:rPr>
          <w:b/>
        </w:rPr>
        <w:t>E. 4</w:t>
      </w:r>
    </w:p>
    <w:p>
      <w:r>
        <w:t>En première instance, X.________ été condamné à une peine pécuniaire de 25 jours-amende, le jour-amende étant fixé à 30 fr., avec sursis pendant deux ans, et à une amende de 150 fr. à titre de sanction immédiate. Ayant conclu à son acquittement, l’appelant ne conteste pas la peine en tant que telle. Celle-ci est cependant vérifiée d’office par la Cour de céans. A cet égard, la Cour de céans fait entièrement sienne la motivation complète et convaincante du premier juge telle qu’exposée dans le jugement entrepris (art. 82 al. 4 CPP ; jugement du 7 mars 2016, p. 12-13). En effet, la peine clémente prononcée tient à juste titre compte de l'absence de volonté de l’appelant de passer à l'acte, du fait que les messages ont été écrits sous la colère suscitée par l'attentat perpétré contre la rédaction du journal Charlie Hebdo, de ce que l’appelant a effacé lui-même les messages peu de temps après leur publication, des regrets exprimés – sans que ceux-ci ne puissent être considérés comme un repentir sincère au sens de l’art. 48 let. d CP – ainsi que de la bonne situation personnelle et professionnelle de l'appelant. Tout bien considéré, la peine prononcée est adéquate et doit être confirmée. Compte tenu de la situation financière de l’appelant, il en va de même de la quotité du jour-amende, arrêtée à 30 francs. Enfin, l’octroi du sursis assorti d’un délai d’épreuve de deux ans ne prête pas le flanc à la critique.</w:t>
      </w:r>
    </w:p>
    <w:p>
      <w:r>
        <w:rPr>
          <w:b/>
        </w:rPr>
        <w:t>E. 5</w:t>
      </w:r>
    </w:p>
    <w:p>
      <w:r>
        <w:t>En définitive, l’appel de X.________ doit être rejeté et le jugement attaqué intégralement confirmé. Vu l’issue de la cause, les frais de la procédure d’appel, constitués du seul émolument d’arrêt, par 1’500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