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221 vom 29. Januar 2016</w:t>
      </w:r>
    </w:p>
    <w:p>
      <w:r>
        <w:t>VD Tribunal cantonal, 2016-01-29, FR</w:t>
      </w:r>
    </w:p>
    <w:p>
      <w:r>
        <w:rPr>
          <w:b/>
        </w:rPr>
        <w:t xml:space="preserve">Quelle: </w:t>
      </w:r>
      <w:r>
        <w:t>https://mcp.opencaselaw.ch/entscheid/vd_findinfo_Jug___2016___221</w:t>
      </w:r>
    </w:p>
    <w:p>
      <w:r>
        <w:t>FR: VD_FINDINFO Jug / 2016 / 221 du 29 janvier 2016</w:t>
      </w:r>
    </w:p>
    <w:p>
      <w:r>
        <w:t>IT: VD_FINDINFO Jug / 2016 / 221 del 29 gennaio 2016</w:t>
      </w:r>
    </w:p>
    <w:p>
      <w:pPr>
        <w:pStyle w:val="Heading2"/>
      </w:pPr>
      <w:r>
        <w:t>Regeste</w:t>
      </w:r>
    </w:p>
    <w:p>
      <w:r>
        <w:t>BRIGANDAGE, IN DUBIO PRO REO, ENLÈVEMENT{INFRACTION} | 140 ch. 1 CP, 140 ch. 2 CP, 183 ch. 1 CP, 10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Le principe de célérité (cf. art. 5 CPP) impose aux autorités de mener la procédure pénale sans désemparer, dès le moment où l'accusé est informé des soupçons qui pèsent sur lui, afin de ne pas le maintenir inutilement dans l'angoisse (ATF 133 IV 158 consid. 8; TF 6B_473/2011 du 13 octobre 2011 consid. 4.2).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(ATF 133 IV 158 consid. 8; ATF 130 IV 54 consid. 3.3.1 et les références citées).</w:t>
      </w:r>
    </w:p>
    <w:p>
      <w:r>
        <w:rPr>
          <w:b/>
        </w:rPr>
        <w:t>E. 2.2</w:t>
      </w:r>
    </w:p>
    <w:p>
      <w:r>
        <w:t>En l’espèce, il y a lieu de retenir que la culpabilité de l’appelant est extrêmement lourde. A peine sorti de prison au bénéfice d’une libération conditionnelle, il a récidivé en commettant à nouveau, notamment, un brigandage qualifié, sans aucune considération pour la confiance qui lui avait été témoignée. Cupide et motivé par l’argent facile, il s’est facilement laissé convaincre de participer à un brigandage armé. Le prévenu affirme que rien ne permet de retenir, comme les premiers juges l’ont fait, qu’il éprouve du mépris pour le patrimoine et, surtout, la santé, voire la vie d’autrui. Certes, ce n’est pas lui qui braquait l’arme sur la tempe de la victime pas plus même qu’il n’a brandi une arme à feu. Il ne s’est pas moins pleinement associé à cet acte et a accepté les conséquences de celui-ci sur la santé de la plaignante, qui se sont avérées lourdes, comme la victime l’a décrit à l’audience d’appel encore. La Cour d’appel partage donc l’appréciation des premiers juges sur ce point. Certes également, les deux clients de la poste l’ont trouvé calme et dépourvu d’agressivité, mais l’appelant perd de vue que ce comportement détaché est aussi le reflet de son professionnalisme; c’est au demeurant ainsi que K.________, qui a fait preuve d’un courage exceptionnel et d’une grande humanité, l’a ressenti. Contrairement aux premiers juges, la Cour ne retiendra pas que ce prévenu donne l’impression de s’apitoyer sur son sort lorsqu’il évoque la mort de son père et la naissance de sa fille qu’il n’aurait pas pu serrer dans ses bras. Cela ne ressort en effet pas de ses déclarations. A charge également, il y a lieu de retenir, outre la récidive dans le délai de libération conditionnelle, les lourds antécédents et le concours d’infraction, étant toutefois rappelé que l’appelant a été libéré de l’infraction de séquestration. Enfin, le brigandage est à la limite de la dangerosité particulière selon l’art. 140 ch. 3 CP. A décharge, il faut souligner le fait que l’appelant a reconnu les faits s’agissant du brigandage. Mais il les a d’abord niés, malgré les traces d’ADN qui l’incriminaient. Ce n’est qu’en octobre 2013, après près d’un an d’incarcération, qu’il a demandé à être entendu et qu’il a reconnu avoir participé au brigandage, expliquant que la mort de son père et la naissance de sa fille l’avaient fait réfléchir. A l’audience d’appel encore, il n’a pas fourni d’indications sur l’identité du troisième complice, par peur, selon lui, des représailles. Il a toutefois donné par ailleurs des informations utiles, de sorte que sa collaboration, certes tardive et incomplète, a été globalement satisfaisante pour ce qui est du brigandage. En revanche, il n’a pas reconnu, même à l’audience de première instance, qu’il savait qu’il hébergeait un homme suspecté d’homicide. A décharge également, il y a lieu de retenir, avec les premiers juges, le fait qu’il a présenté des excuses écrites et orales à la victime. En signant une reconnaissance de dette de 25'000 fr. en sa faveur le 25 janvier 2016, il s’est d’ailleurs engagé à l’indemniser, ce qu’il a commencé à faire en lui versant 500 fr. sur son pécule. Aussi partiel que soit ce début de dédommagement, il doit dès lors être retenu que l’appelant a pris conscience de la gravité de ses actes, d’où des regrets que l’on peut considérer comme sincères. A décharge encore, il y a lieu de prendre en compte la violation du principe de célérité constatée par arrêt de la Chambre des recours pénale du 3 août 2015, dont les premiers juges ont implicitement tenu compte en se référant à la longueur de la procédure. Compte tenu de l’ensemble de ces éléments, une peine privative de liberté de sept ans apparait adéquate. L’appel sera partiellement admis dans cette mesure. Pour le reste, la révocation de la libération conditionnelle, incontestée, doit être confirmée. III. Appel de X.________ dit [...] 1. L’appelant conteste avoir participé au brigandage perpétré le 10 octobre 2012 à l’office postal de Vers-chez-les-Blanc. Il fait valoir une violation de la présomption d’innocence. Il ne conteste pas les autres faits qui ont été retenus à son encontre. 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1.2 Dans le cas particulier, les premiers juges ont retenu l’implication de l’appelant dans le brigandage compte tenu de l’entier des éléments concordants à charge. L’appelant nie toute implication et reprend un à un les éléments retenus par les premiers juges. Ce faisant, il perd de vue qu’il s’agit d’un faisceau d’indices qu’il y a lieu de prendre en compte dans leur ensemble. L’appelant n’a cessé de se contredire et de modifier ses déclarations; il a par exemple affirmé qu’il n’avait jamais revu D.________ en Suisse, pour revenir ultérieurement sur ses déclarations et admettre qu’il l’y avait rencontré à plusieurs reprises (P. 137, p. 20). De même, il a prétendu que ses deux comparses l’avaient informé le jour du brigandage de leurs intentions, pour soutenir par la suite que T.________ lui en avait parlé le soir précédent. Ses déclarations manquent totalement de crédibilité. En effet,              D.________ a clairement mis en cause un « troisième homme », sans indiquer son identité, comparse avec lequel le butin devait être partagé, en trois parts égales. Il l’a désigné comme le chef de la bande, tout en affirmant qu’il avait agi de son plein gré. Il a notamment précisé que ce troisième individu lui avait parlé de l’affaire au Kosovo, qu’il devait fonctionner comme chauffeur, que c’était un ami de la famille, qu’il avait été avec lui « chez une dame monter des meubles ». Or, non seulement les deux appelants et leurs familles se connaissent depuis toujours et ils se sont revus au Kosovo puis en Suisse, mais X.________ a précisément conduit D.________ et T.________ sur le lieu du brigandage. Qui plus est, D.________ et X.________ sont allés, selon leurs déclarations concordantes, quelques jours avant le brigandage, aider une connaissance à monter des meubles. Par ailleurs, juste après les faits, D.________ a envoyé un sms à leur chauffeur, à savoir le troisième comparse, et il a précisément envoyé un sms à X.________, comme l’établissent les relevés téléphoniques. En outre, les trois individus ont mangé ensemble à la Blécherette quelques jours avant les faits. Les mesures techniques telles qu’elles ressortent du rapport de police du 7 juillet 2014 (P. 137, classeur gris), soit le relevé des appels et messages échangés et des emplacements d’antennes de téléphonie mobile activées par leurs téléphones portables, permettent d’établir que les trois hommes ont été en contact dans les semaines précédant l’infraction (rapport de police, p. 7). Elles attestent en outre que l’appelant est passé à proximité de la Poste de Vers-chez-les-Blanc quelques jours avant le brigandage; en particulier, le 7 octobre 2012, à 20 h 46, les raccordements de D.________ et d’X.________ ont activé la même antenne d’Epalinges, donc à proximité immédiate de Vers-chez-les-Blanc. En outre, D.________, a dormi chez lui la veille du brigandage au soir. Les déclarations de T.________ selon lesquelles X.________ était présent, mais n’était pas au courant de leur projet, doivent être écartées au profit de celles de D.________, qui fait état d’un projet réalisé à trois. En effet, ces déclarations sont à l’évidence empreintes de plus de sincérité que celles de T.________; leur vraisemblance est par ailleurs corroborée par les données techniques mentionnées ci-dessus. Enfin, T.________ et D.________ ne se connaissaient pas et c’est précisément X.________ qui les a réunis. L’appelant affirme que rien ne permet de retenir que D.________ et T.________ aient dormi chez lui la nuit précédant le brigandage (respectivement les deux nuits antérieures à cette infraction; cf. P. 7, p. 8 in fine) et que les données techniques ne l’établissent pas. Les relevés de télécommunications établissent la présence de D.________ à Moudon, commune de résidence d’X.________, durant la nuit du 7 au 8 octobre 2012 de 21 h 06 à 1 h 37, puis le 8 octobre également à 10 h 26 et vers 17 h 15 et, enfin, le 9 octobre suivant de 14 h 49 à 23 h 59 (P. 137, p. 8 in fine). Par ailleurs, l’appelant a lui-même déclaré (PV aud. 22, p. 4) que D.________ avait dormi chez lui le soir précédent, avant de se rétracter; or les données techniques résumées ci-dessus permettent de retenir en tout cas que ce dernier était alors à Moudon, localité à laquelle rien ne le rattachait si ce n’est, précisément, la présence d’X.________. Le fait que les premiers juges ont ainsi retenu à tort que T.________ et X.________ ont dormi chez lui paraît de toute façon anecdotique au vu de tous les autres éléments du dossier. Enfin, le modus operandi de l’appelant dans le cadre du brigandage coïncide avec sa manière d’agir dans les autres cas jugés en l’espèce, sachant qu’il a organisé des infractions contre le patrimoine, fonctionné comme chauffeur et envoyé des hommes de main sur le terrain. Pour tous ces motifs, qui constituent un faisceau d’indices, il n’y a aucun doute qu’X.________ a eu l’idée du brigandage, qu’il l’a organisé, qu’il a mis en relation D.________ avec T.________, qu’il a choisi l’office postal à dévaliser, qu’il devait toucher un tiers du butin et qu’il a fonctionné comme chauffeur, avant de renoncer à récupérer ses deux comparses après le crime. L’appelant doit ainsi être reconnu coupable de brigandage qualifié. Il doit être libéré de l’infraction de séquestration pour les mêmes motifs que ceux exposés ci-dessus dans le cadre de l’appel de D.________. Les autres infractions retenues ne sont pas contestées. 2. L’appelant conclut à ce qu’il ne soit pas tenu à réparation envers K.________ et La Poste Suisse SA. Quant à son principe, cette conclusion présuppose l’admission du moyen d’appel déduit de la présomption d’innocence, comme la partie l’a plaidé à l’audience d’appel. Celui-ci ayant été rejeté, l’implication de ce prévenu dans les faits litigieux, pénalement déterminante, implique sa responsabilité civile (art. 41 CO). En effet, le brigandage n’aurait pas pu être commis sans l’organisation et la logistique préalablement fournies par l’appelant. Les actes de ce dernier sont dès lors en lien de causalité naturelle et adéquate avec l’ensemble du dommage (matériel et moral) dont réparation a été accordée aux plaignantes, demanderesses. Pour le reste, l’appelant ne conteste pas séparément le montant de la réparation allouée (déclaration d’appel, ch. C.2, p. 11, a contrario). L’appel doit donc être rejeté dans cette mesure également.</w:t>
      </w:r>
    </w:p>
    <w:p>
      <w:r>
        <w:rPr>
          <w:b/>
        </w:rPr>
        <w:t>E. 3</w:t>
      </w:r>
    </w:p>
    <w:p>
      <w:r>
        <w:t>La peine privative de liberté doit être fixée à nouveau. A charge doivent être pris en compte les antécédents de l’auteur, même s’ils apparaissent nettement moins lourds que ceux de D.________. Il doit en outre être retenu que l’appelant est condamné pour d’autres infractions encore, en concours. Il a endossé un rôle d’organisateur, de recruteur et de coordinateur en relation avec le brigandage et les tentatives de vol incriminés. De plus, il profite de la naïveté de compatriotes moins avisés que lui et prêts à tout pour des gains faciles, auxquels il laisse prendre des risques en demeurant au second plan alors même qu’il exige une part égale de butin. L’usage d’un alias témoigne en outre de son insertion dans la criminalité. Il a démontré le peu de considération qu’il avait pour le patrimoine, la santé et la vie d’autrui. Aussi bien, le brigandage est à la limite de la dangerosité particulière selon l’art. 140 ch. 3 CP. Enfin, l’appelant nie l’évidence s’agissant des faits les plus graves, de sorte que sa collaboration à l’enquête a été nulle. Contrairement à ceux de son comparse, ses regrets s’avèrent de pure circonstance. Il apparaît ainsi ne pas avoir pris conscience de la gravité de ses actes. On ne distingue aucun facteur à décharge, si ce n’est le bon comportement du prévenu en détention et la violation du principe de célérité. Compte tenu de l’ensemble de ces éléments, une peine privative de liberté de sept ans et demi apparait adéquate. L’appel sera en conséquence très partiellement admis.</w:t>
      </w:r>
    </w:p>
    <w:p>
      <w:r>
        <w:rPr>
          <w:b/>
        </w:rPr>
        <w:t>E. 4</w:t>
      </w:r>
    </w:p>
    <w:p>
      <w:r>
        <w:t>Enfin, s’agissant d’un acquittement ne portant que sur un chef de prévention englobé par une autre infraction, la condamnation de l’appelant exclut toute indemnité à forme de l’art. 429 (al. 1 let. b et c) CPP. IV.1. La détention subie par les prévenus depuis le jugement de première instance est déduite (art. 51 CP). Leur maintien en détention pour des motifs de sûreté (art. 220 al. 2 CPP) est ordonné pour parer le risque de fuite (art. 221 al. let. a CPP). En effet, les intéressés, ressortissants étrangers actuellement dépourvus de titre de séjour et condamnés de ce fait (même si D.________ a été au bénéfice d’un tel titre par le passé), n’ont plus, respectivement pas d’attaches en Suisse. 2. Vu l'issue des appels, les frais communs de la procédure d'appel (art. 21 al. 1 et 2 TFIP [Tarif des frais de procédure et indemnités en matière pénale du 28 septembre 2010; RSV 312.03.1]) sont mis par moitié à la charge d’X.________ et par un quart à la charge de D.________ (art. 428 al. 1 CPP), le solde étant laissé à la charge de l’Etat (art. 423 al. 1 CPP). Les frais d’appel comprennent l’indemnité en faveur du défenseur d’office de chacun des prévenus (art. 422 al. 1 et al. 2 let. a CPP). En ce qui concerne D.________, celle-ci doit être arrêtée sur la base d’une durée d’activité de douze heures et 20 minutes d’avocat breveté, y compris le temps nécessaires à l’examen de la déclaration d’appel du co-prévenu, ainsi que de 390 fr. 25 de débours, dont trois vacations à 120 fr. et 30 fr. 25 d’autres frais, plus la TVA, soit à 2'819 francs. Pour ce qui est d’X.________, l’indemnité doit être arrêtée sur la base d’une durée d’activité de 15 heures d’avocat breveté, y compris le temps nécessaires à l’examen de la déclaration d’appel du co-prévenu, les visites en prison et la durée de l’audience, soit trois vacations à 120 fr., ainsi que 50 fr. d’autres débours, plus la TVA, soit à 3'358 fr. 80. Les appelants ne seront tenus de rembourser la part mise à leur charge du montant de l’indemnité en faveur de leur défenseur d’office respectif que lorsque leur situation financière le permettra (art. 135 al. 4 let. a CPP). 3. L’intimée K.________ requiert une indemnité de 3'000 fr. au moins, TVA comprise, pour les dépenses obligatoires occasionnées par la procédure au sens de l’art. 433 CPP, en appel. Les conditions de principe posées par l’art. 433 al. 1 CPP sont réunies. L’intimée a chiffré et justifié ses prétentions conformément à l’art. 433 al. 2 CPP. Dès lors qu’elle a succombé partiellement, il y a lieu de réduire son indemnité. Au vu de l’ampleur et de la complexité des opérations nécessaires à la défense des intérêts de la plaignante, le montant de l’indemnité doit être arrêté sur la base d’une durée d’activité utile de son mandataire de quatre heures trois quarts d’avocat de choix, à 350 fr. l’heure hors TVA (cf. art. 26a TFIP), y compris l’audience d’appel, et compte tenu en outre des frais de vacation et autres débours (cf. CREP 30 janvier 2015/85 consid. 2.2 in fine). Un montant total de 2’000 fr., TVA compris, sera ainsi alloué au titre de l’art. 433 CPP, à la charge d’X.________, qui succombe sur l’essentiel.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