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 vom 17. September 2015</w:t>
      </w:r>
    </w:p>
    <w:p>
      <w:r>
        <w:t>VD Tribunal cantonal, 2015-09-17, FR</w:t>
      </w:r>
    </w:p>
    <w:p>
      <w:r>
        <w:rPr>
          <w:b/>
        </w:rPr>
        <w:t xml:space="preserve">Quelle: </w:t>
      </w:r>
      <w:r>
        <w:t>https://mcp.opencaselaw.ch/entscheid/vd_findinfo_Jug___2016___22</w:t>
      </w:r>
    </w:p>
    <w:p>
      <w:r>
        <w:t>FR: VD_FINDINFO Jug / 2016 / 22 du 17 septembre 2015</w:t>
      </w:r>
    </w:p>
    <w:p>
      <w:r>
        <w:t>IT: VD_FINDINFO Jug / 2016 / 22 del 17 settembre 2015</w:t>
      </w:r>
    </w:p>
    <w:p>
      <w:pPr>
        <w:pStyle w:val="Heading2"/>
      </w:pPr>
      <w:r>
        <w:t>Regeste</w:t>
      </w:r>
    </w:p>
    <w:p>
      <w:r>
        <w:t>FIXATION DE LA PEINE, DISPOSITIONS PÉNALES DE LA LSTUP | 305bis CP, 47 CP, 19 ch. 2 LStup, 115 LEtr</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Invoquant une violation des art. 47 et 49 al. 1 CP, le Ministère public considère, en substance, que la peine infligée à Z.________ par les premiers juges est trop clémente compte tenu des faits, des infractions retenues et des antécédents judiciaires du prévenu.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Selon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Z.________ s’est rendu coupable d’infraction grave et de contravention à la LStup, de blanchiment d’argent et d’infraction à la LEtr. Sa culpabilité est très lourde. En effet, il s’est livré à un trafic important d’héroïne portant sur</w:t>
      </w:r>
    </w:p>
    <w:p>
      <w:r>
        <w:rPr>
          <w:b/>
        </w:rPr>
        <w:t>E. 6</w:t>
      </w:r>
    </w:p>
    <w:p>
      <w:r>
        <w:t>kg qui lui ont été livrés, par des individus venus des Pays-Bas, en trois étapes par quantités de 2 kg sous la forme de pains de 500 g dont le taux de pureté moyen était de 48,55 %. Il a coupé cette drogue et confectionné des sachets de 5 g d’un taux de pureté d’environ 4 fois inférieur à la drogue initiale qu’il a revendus tant à des grossistes qu’à des toxicomanes. Compte tenu de la quantité totale de 6 kg d’héroïne et de son taux de pureté moyen de 48,55 %, Z.________ a vendu 2,91 kg d’héroïne pure, quantité dépassant de plus de 240 fois le seuil du cas grave fixé à 12 g purs par la jurisprudence. Il connaissait la qualité du produit écoulé, puisque, dans le cadre d’une conversation téléphonique, il a expliqué à un grossiste que l’héroïne était trop forte et qu’elle pouvait tuer (P. 78, p. 41). Durant la même période, soit de l’été 2013 au moins au 4 avril 2014, l’intéressé s’est également livré à un trafic de cocaïne portant sur une quantité totale de 500 g achetés auprès d’un fournisseur aux Pays-Bas. Il en a consommé une partie et en a vendu au moins 140 g à un taux de pureté moyen de 38,1 %, soit une quantité de 53,34 g de cocaïne pure. Ainsi, son trafic a porté sur une quantité importante de stupéfiants, pendant quelques dix mois. S’agissant de sa position dans le réseau, elle était loin d’être négligeable. Il n’était certes pas le chef, mais disposait tout de même de grandes quantités de stupéfiants qu’il pouvait d’ailleurs obtenir à crédit auprès de ses fournisseurs à l’étranger et qu’il revendait, tant à Genève qu’à Lausanne, auprès notamment de grossistes. Le nombre de téléphone portables et de cartes SIM trouvés à son domicile, ainsi que l’ampleur des conversations téléphoniques auxquelles il a participé depuis sa mise sur écoute, révèlent une activité délictueuse de grande intensité. Z.________ a trafiqué principalement dans le but de réaliser rapidement des gains importants, dont l’ampleur n’a pas pu être déterminée avec précision. Ses activités illicites lui ont également permis de financer sa propre consommation de cocaïne. L’intimé a deux antécédents judiciaires pour infractions à la LStup en 2011 et 2012, dont une peine privative de liberté de trois mois qu’il a exécutée à Genève, avant d’être expulsé. Ces précédentes condamnations ne l’ont toutefois nullement dissuadé de revenir en Suisse pour s’adonner à un nouveau trafic. Pire encore, il y a associé sa nouvelle amie. Finalement, seule son arrestation a mis fin à son activité criminelle, qu’il s’apprêtait à poursuivre à Genève, où elle lui paraissait plus lucrative. Le concours d’infractions doit également être pris en compte. A décharge, on doit retenir, à l’instar des premiers juges, la bonne collaboration du prévenu à l’instruction. Il faut admettre en particulier que la connaissance de la quantité de stupéfiants diffusés sur le territoire suisse par son intermédiaire résulte de ses propres déclarations. De plus, il semble avoir pris conscience, au cours de la détention, de la gravité de ses actes et a exprimé aux débats de première et de seconde instances, à l’égard des personnes dont la santé a été mise en danger, des regrets qui ont paru, aux yeux des premiers juges mais aussi de la cour de céans, sincères. Enfin, la consommation de stupéfiants de l’intimé sera également prise en compte. Au regard de la culpabilité de l’intéressé et des éléments précités, la peine privative de liberté de 8 ans est adéquate et doit être confirmée. La détention avant jugement sera déduite, ainsi que les 14 jours de détention effectués dans des conditions illicites. En dernier lieu, la contravention au sens de l’art. 19a LStup commise par Z.________, dont la quotité arrêtée à 500 fr. par les premiers juges est adéquate, sera également confirmée, de même que la peine privative de liberté de substitution de 5 jours y relative. 4. En définitive, l’appel est rejeté et le jugement attaqué intégralement confirmé. Vu l’issue de la cause, l’émolument d’arrêt, par 1’720 fr. (art. 21 al. 1 et 2 TFIP [Tarif des frais de procédure et indemnités en matière pénale du 28 septembre 2010 ; RSV 312.03.1]), sera laissé à la charge de l’Etat (art. 423 al. 1 CPP). Sur la base de la liste d’opérations produite, une indemnité pour la procédure d’appel d’un montant de 3'229 fr. 20, TVA et décours inclus, sera allouée au défenseur d’office de Z.________, laquelle sera, au vu du sort de l’appel,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