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217 vom 7. Dezember 2015</w:t>
      </w:r>
    </w:p>
    <w:p>
      <w:r>
        <w:t>VD Tribunal cantonal, 2015-12-07, FR</w:t>
      </w:r>
    </w:p>
    <w:p>
      <w:r>
        <w:rPr>
          <w:b/>
        </w:rPr>
        <w:t xml:space="preserve">Quelle: </w:t>
      </w:r>
      <w:r>
        <w:t>https://mcp.opencaselaw.ch/entscheid/vd_findinfo_Jug___2016___217</w:t>
      </w:r>
    </w:p>
    <w:p>
      <w:r>
        <w:t>FR: VD_FINDINFO Jug / 2016 / 217 du 7 décembre 2015</w:t>
      </w:r>
    </w:p>
    <w:p>
      <w:r>
        <w:t>IT: VD_FINDINFO Jug / 2016 / 217 del 7 dicembre 2015</w:t>
      </w:r>
    </w:p>
    <w:p>
      <w:pPr>
        <w:pStyle w:val="Heading2"/>
      </w:pPr>
      <w:r>
        <w:t>Regeste</w:t>
      </w:r>
    </w:p>
    <w:p>
      <w:r>
        <w:t>BRIGANDAGE, DOMMAGE MATÉRIEL, DOMMAGES À LA PROPRIÉTÉ{DROIT PÉNAL}, VIOLATION DE DOMICILE, LOI FÉDÉRALE SUR LES STUPÉFIANTS ET LES SUBSTANCES PSYCHOTROPES, CONDUITE SANS AUTORISATION | 106 CP, 140 CP, 144 CP, 186 CP, 40 CP, 43 CP, 47 CP, 49 al. 1 CP, 49 CP, 51 CP, 69 CP, 95 al. 1 let. b LCR, 19 al. 1 LStup, 19 LStup, 19a ch. 1 LStup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L'immédiateté des preuves ne s'impose ainsi pas en instance d'appel (TF 6B_78/2012 du 27 août 2012 consid. 3.1).</w:t>
      </w:r>
    </w:p>
    <w:p>
      <w:r>
        <w:rPr>
          <w:b/>
        </w:rPr>
        <w:t>E. 3</w:t>
      </w:r>
    </w:p>
    <w:p>
      <w:r>
        <w:t>L'appelant allègue l'existence d' "un doute très sérieux et irrémédiable" s'agissant de sa participation au brigandage incriminé, aux motifs qu'il se serait trouvé en Allemagne le jour des faits, que le plaignant F.________ ne l'aurait pas reconnu, qu'un autre cap-verdien de sa taille se ferait aussi appeler L.________ qu'un certain T.________ pourrait le disculper en désignant les participants, et que d'après les dernières déclarations de V.________, le L.________ qu'elle connaissait "ne serait pas celui du cambriolage".</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w:t>
      </w:r>
    </w:p>
    <w:p>
      <w:r>
        <w:t>Le tribunal de première instance a motivé sa conviction au sujet de la participation l'appelant au brigandage de manière complète et circonstanciée. Il a ainsi constaté que la mise en cause parZ.________ d'un participant surnommé L.________ correspondait bien à la mise en cause de l'appelant. Il s'est fondé pour cela sur la concordance dans le répertoire du téléphone portable deZ.________ entre ce surnom et le numéro de téléphone utilisé par l'appelant. Mais ce sont surtout les dénégations ultérieures des deux protagonistes qui permettent à l'autorité de céans de se convaincre de la participation de l'appelant aux faits délictueux, comme on va le voir ci-après.</w:t>
      </w:r>
    </w:p>
    <w:p>
      <w:r>
        <w:rPr>
          <w:b/>
        </w:rPr>
        <w:t>E. 3.2.1</w:t>
      </w:r>
    </w:p>
    <w:p>
      <w:r>
        <w:t>L'appelant a nié avoir le surnom précité, malgré les déclarations claires des témoins[...] et V.________ ─ qui l'a décrit physiquement, de même que sa voiture ─ et en dépit des indications figurant sur son profil Facebook. S'il a fini par reconnaître que son entourage pouvait l'appeler L.________, il a prétendu avoir hébergé un autre cap-verdien, un certain [...], de même taille que lui mais plus fin, qui se faisait aussi appeler L.________ et à qui il aurait prêté son portable avec son numéro au début de l'année 2014 (PV aud. 18 pp. 2-3). Lui-même ne serait en tous cas pas l'auteur du cambriolage, comme cela ressort des deux dernières déclarations de V.________, précisant que le L.________ qu'elle connaissait n'était pas celui impliqué dans les faits incriminés.</w:t>
      </w:r>
    </w:p>
    <w:p>
      <w:r>
        <w:rPr>
          <w:b/>
        </w:rPr>
        <w:t>E. 3.2.2</w:t>
      </w:r>
    </w:p>
    <w:p>
      <w:r>
        <w:t>De même, les explications de Z.________ selon lesquelles sa mise en cause initiale concernerait un autre L.________ sont autant ridicules qu'incompréhensibles. Ainsi, Z.________ aurait rencontré cet autre L.________ dans une discothèque en février 2014. Il ne s'agirait pas de B.________, mais d'un inconnu. Cet inconnu lui aurait donné son numéro. Il l'aurait inscrit dans le répertoire de son téléphone portable sous le nom de L.________. Il se serait agi du numéro de B.________. Z.________ aurait correspondu avec cet autre L.________ jusqu'en mai 2014. Par la suite, il aurait tenté de le joindre par [...] et par téléphone, sans succès. En juin ou juillet 2014, le prévenu lui aurait répondu en lui disant qu'il n'était pas L.________ mais B.________.</w:t>
      </w:r>
    </w:p>
    <w:p>
      <w:r>
        <w:rPr>
          <w:b/>
        </w:rPr>
        <w:t>E. 3.2.3</w:t>
      </w:r>
    </w:p>
    <w:p>
      <w:r>
        <w:t>Comme le retient le tribunal en pages 25 et 26 de son jugement, il paraît invraisemblable qu'il y ait eu deux L.________, que ces personnes aient habité toutes deux à [...], qu'elles aient roulé toutes deux en[...], et que Z.________ ne se soit pas rendu compte qu'il conversait avec deux personnes différentes. Il apparaît tout aussi invraisemblable que B.________, qui travaillait dans la téléphonie, ait prêté son portable avec son numéro à un tiers portant le même surnom que lui pendant près de cinq mois, ne pouvant être atteint que sur sa ligne fixe durant ce long laps de temps. On relève, au demeurant, que l'enquête n'a pas permis de trouver le dénommé [...] qui aurait été le [...] impliqué dans le cambriolage. Enfin, on ne prendra pas en compte les rétractations de V.________, intervenues après que celle-ci était allée voir à plusieurs reprises son ami Z.________ en prison.</w:t>
      </w:r>
    </w:p>
    <w:p>
      <w:r>
        <w:rPr>
          <w:b/>
        </w:rPr>
        <w:t>E. 3.3</w:t>
      </w:r>
    </w:p>
    <w:p>
      <w:r>
        <w:t>B.________ allègue encore qu'il ne peut pas avoir participé au cambriolage perpétré le 12 mars 2014 chez X.________, car il se trouvait à Brême (Allemagne) ce jour-là. A l'appui de cet alibi, il présente un relevé de son compte privé[...] auprès [...], qui montre trois prélèvements [...] effectués le 12 mars 2014 pour un total de 550 euros, ou 711 fr. 08, sous la mention [...] (P. 59). Cela n'est pas probant. En effet, la carte [...] peut très bien avoir été utilisée par un tiers. En outre, si l'intéressé s'était réellement trouvé en Allemagne le jour du cambriolage, il s'en serait prévalu pendant l'enquête et aurait produit toute pièce censée l'établir, comme une réservation d'hôtel ou un billet de transport, par exemple. Or tel n'a pas été le cas. Il a indiqué, le 2 décembre 2014, qu'il travaillait ce jour-là chez [...] (PV aud. 10, p. 8). Le 3 février 2015, il disait se trouver chez [...] le jour des faits (PV 18 p. 3).</w:t>
      </w:r>
    </w:p>
    <w:p>
      <w:r>
        <w:rPr>
          <w:b/>
        </w:rPr>
        <w:t>E. 3.4</w:t>
      </w:r>
    </w:p>
    <w:p>
      <w:r>
        <w:t>Co mme demandé par l'appelant, l'autorité de céans a requis la production du procès-verbal d'audition deT.________. Cette pièce lui a été communiquée par le Ministère public le 7 avril 2016 (P. 138). Elle a été versée au dossier. Contrairement à ce que soutient l'appelant, les mesures d'instruction auxquelles il a été procédé après le jugement de première instance dans l'enquête dirigée contreT.________ ne changent rien à l'appréciation des preuves. En effet, T.________ a nié toute participation à ce brigandage et a déclaré ne rien pouvoir dire à ce sujet (P. 138/1 l. 67). Même si ses dénégations paraissent sujettes à caution, il n'appartient pas à la cour de céans de se prononcer à ce sujet, étant précisé que l'acte d'accusation dirigé contre l'appelant et Z.________ fait état d'au moins deux autres participants. Quoi qu'il en soit, l'éventuelle participation de T.________ au brigandage n'exclut pas celle de l'appelant, laquelle repose sur des indices concrets que les dénégations de Z.________ et B.________ n'ont pas pu remettre en cause (cf. supra consid. 3.2 et 3.3). Point n'est ainsi besoin d'attendre le résultat de l'audition de confrontation de T.________ avec le prévenu. L'autorité de céans peut en effet refuser des preuves nouvelles, lorsque, comme en l'espèce, une administration anticipée de celles-ci démontre qu'elles ne seront pas de nature à modifier le résultat de celles déjà administrées (ATF 136 I 229 consid. 5.3).</w:t>
      </w:r>
    </w:p>
    <w:p>
      <w:r>
        <w:rPr>
          <w:b/>
        </w:rPr>
        <w:t>E. 3.5</w:t>
      </w:r>
    </w:p>
    <w:p>
      <w:r>
        <w:t>En définitive, les éléments au dossier permettent de retenir, avec le tribunal, que le dénomméL.________ qui a participé au cambriolage chez X.________ était bien B.________. Peu importe, cela étant, que le plaignant F.________ n'ait pas pu identifier le prévenu. B.________ a donc été condamné pour brigandage, dommage à la propriété et violation de domicile sans violation de la présomption d'innocence.</w:t>
      </w:r>
    </w:p>
    <w:p>
      <w:r>
        <w:rPr>
          <w:b/>
        </w:rPr>
        <w:t>E. 4</w:t>
      </w:r>
    </w:p>
    <w:p>
      <w:r>
        <w:t>L'appelant conteste également la révocation du sursis accordé le 28 mai 2014.</w:t>
      </w:r>
    </w:p>
    <w:p>
      <w:r>
        <w:rPr>
          <w:b/>
        </w:rPr>
        <w:t>E. 4.1</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4.2</w:t>
      </w:r>
    </w:p>
    <w:p>
      <w:r>
        <w:t>En l'espèce, les premiers juges ont retenu que l'appelant avait récidivé dans le même domaine d'infraction, soit en matière de circulation routière, et que le sursis devait être révoqué pour asseoir l'effet d'avertissement et favoriser la prise de conscience dans le cadre de la peine principale assortie d'un sursis partiel. Cette motivation est adéquate. L'exécution d'un travail d'intérêt général permettra en effet d'exercer un effet de prévention spéciale chez un jeune délinquant qui montre des difficultés à rester durablement inséré professionnellement. Le sursis doit donc être révoqué.</w:t>
      </w:r>
    </w:p>
    <w:p>
      <w:r>
        <w:rPr>
          <w:b/>
        </w:rPr>
        <w:t>E. 5</w:t>
      </w:r>
    </w:p>
    <w:p>
      <w:r>
        <w:t>L'appelant demande à être indemnisé pour sa détention avant jugement. Cette prétention ne peut être que rejetée, dès lors que sa condamnation une peine privative de liberté est confirmée.</w:t>
      </w:r>
    </w:p>
    <w:p>
      <w:r>
        <w:rPr>
          <w:b/>
        </w:rPr>
        <w:t>E. 6</w:t>
      </w:r>
    </w:p>
    <w:p>
      <w:r>
        <w:t>L'appelant soutient que la peine qui lui a été infligée est trop sévère et conclu subsidiairement à une peine privative de liberté de 20 mois assortie du sursis.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6B_759/2011 du 19 avril 2012 consid. 1.1 ; TF 6B_335/2012 du 13 août 2012 consid. 1.1).</w:t>
      </w:r>
    </w:p>
    <w:p>
      <w:r>
        <w:rPr>
          <w:b/>
        </w:rPr>
        <w:t>E. 6.2</w:t>
      </w:r>
    </w:p>
    <w:p>
      <w:r>
        <w:t>La peine fixée par les premiers juges est adéquate et tient compte des circonstances à charge et à décharge annoncées en page 32 du jugement, auxquelles la cour de céans se réfère (art. 82 al. 4 CPP). Le rôle assumé par l'appelant dans la planification et l'exécution du brigandage est grave. Il a déjà été condamné pour des infractions à la loi fédérale sur la circulation routière et l'aggravation des infractions dans son parcours est inquiétante. La prise de conscience est, en l'état, inexistante et il est donc nécessaire que l'appelant exécute encore une partie de la peine privative de liberté à laquelle il a été condamné, de même qu'il effectue un travail d'intérêt général. La peine infligée en première instance doit ainsi être confirmée.</w:t>
      </w:r>
    </w:p>
    <w:p>
      <w:r>
        <w:rPr>
          <w:b/>
        </w:rPr>
        <w:t>E. 7</w:t>
      </w:r>
    </w:p>
    <w:p>
      <w:r>
        <w:t>En définitive, l'appel doit être rejeté aux frais de son auteur (art. 428 al. 1 CPP).</w:t>
      </w:r>
    </w:p>
    <w:p>
      <w:r>
        <w:rPr>
          <w:b/>
        </w:rPr>
        <w:t>E. 8</w:t>
      </w:r>
    </w:p>
    <w:p>
      <w:r>
        <w:t>Une indemnité de défenseur d’office de 2'322 fr. sera allouée à Me Laurent Schuler, conformément à la liste de frais qu'il produit. Cette somme correspond, audience incluse, à 10 h de travail au tarif de l'avocat d'office breveté (soit, dans le canton de Vaud, de 180 fr.,TVA en sus; cf. art. 2 al. 1 RAJ [Règlement du 7 décembre 2010 sur l’assistance judiciaire en matière civile; RSV 211.02.3]; ATF 137 III 185; CAPE 14 juillet 2016/245), une vacation de 120 fr., les débours et 8 %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