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216 vom 14. Juni 2013</w:t>
      </w:r>
    </w:p>
    <w:p>
      <w:r>
        <w:t>VD Tribunal cantonal, 2013-06-14, FR</w:t>
      </w:r>
    </w:p>
    <w:p>
      <w:r>
        <w:rPr>
          <w:b/>
        </w:rPr>
        <w:t xml:space="preserve">Quelle: </w:t>
      </w:r>
      <w:r>
        <w:t>https://mcp.opencaselaw.ch/entscheid/vd_findinfo_Jug___2016___216</w:t>
      </w:r>
    </w:p>
    <w:p>
      <w:r>
        <w:t>FR: VD_FINDINFO Jug / 2016 / 216 du 14 juin 2013</w:t>
      </w:r>
    </w:p>
    <w:p>
      <w:r>
        <w:t>IT: VD_FINDINFO Jug / 2016 / 216 del 14 giugno 2013</w:t>
      </w:r>
    </w:p>
    <w:p>
      <w:pPr>
        <w:pStyle w:val="Heading2"/>
      </w:pPr>
      <w:r>
        <w:t>Regeste</w:t>
      </w:r>
    </w:p>
    <w:p>
      <w:r>
        <w:t>DÉPENS, ACQUITTEMENT | 429 al. 1 let. a CPP (CH), 429 CPP (CH)</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 RS 173. 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 Corboz, in : Commentaire de la LTF, Berne 2009, ch. 27 ad art. 107 LTF).</w:t>
      </w:r>
    </w:p>
    <w:p>
      <w:r>
        <w:rPr>
          <w:b/>
        </w:rPr>
        <w:t>E. 1.2</w:t>
      </w:r>
    </w:p>
    <w:p>
      <w:r>
        <w:t>En l'espèce, le Tribunal fédéral a admis V.________ et B.________ tendant à ce qu'ils soient acquittés. Il y a donc lieu d'admettre leurs appels, de les libérer des fins de la poursuite pénale et de laisser les frais de la procédure d'appel à la charge de l'Etat (art. 423 al. 1 CPP).</w:t>
      </w:r>
    </w:p>
    <w:p>
      <w:r>
        <w:rPr>
          <w:b/>
        </w:rPr>
        <w:t>E. 2</w:t>
      </w:r>
    </w:p>
    <w:p>
      <w:r>
        <w:t>Les prévenus réclament une indemnité de l'art. 429 CPP d'un montant de 14'904 fr. chacun.</w:t>
      </w:r>
    </w:p>
    <w:p>
      <w:r>
        <w:rPr>
          <w:b/>
        </w:rPr>
        <w:t>E. 2.1</w:t>
      </w:r>
    </w:p>
    <w:p>
      <w:r>
        <w:t>A teneur de l'art. 429 al. 1 let. a CPP, le prévenu acquitté totalement ou en partie ou au bénéfice d'une ordonnance de classement a droit à une indemnité pour les dépenses obligatoires occasionnées par l'exercice raisonnable de ses droits en procédure. Les prévenus étant acquittés et n'ayant pas provoqué l'ouverture de la procédure pénale, ils doivent être indemnisés.</w:t>
      </w:r>
    </w:p>
    <w:p>
      <w:r>
        <w:rPr>
          <w:b/>
        </w:rPr>
        <w:t>E. 2.2</w:t>
      </w:r>
    </w:p>
    <w:p>
      <w:r>
        <w:t>Aux termes de l'art. 26a al. 3 TFIP (Tarif des frais de procédure et indemnités en matière pénale du 28 septembre 2010; RSV 312.03), le tarif horaire déterminant (hors TVA) est de 250 fr. au minimum et de 350 fr. au maximum pour l'activité déployée par un avocat breveté. Les prévenus réclament au total 29'808 francs. Ils ont eu le même défenseur pour toute la procédure. Figurent au dossier les notes d'honoraires produites lors de la dernière audience d'appel (12 janvier 2015; P. 107/1 et 2) faisant état de 28 heures d'activité par client à 450 fr. l'heure. Les opérations ne sont pas détaillées, mais regroupées par postes. Compte tenu de la durée de la procédure, qui a débuté en 2008, des auditions chez le juge d'instruction, des trois audiences de jugement (une devant le Tribunal de police et deux devant la Cour de céans), ainsi que des diverses écritures rédigées, les cinquante-six heures de travail (28 x 2) annoncées dans les relevés d'opérations paraissent raisonnables et doivent être admises. Un salaire horaire de 300 fr. est toutefois adéquat s'agissant d'une cause de police ne portant pour l'essentiel que sur des questions factuelles.</w:t>
      </w:r>
    </w:p>
    <w:p>
      <w:r>
        <w:rPr>
          <w:b/>
        </w:rPr>
        <w:t>E. 2.3</w:t>
      </w:r>
    </w:p>
    <w:p>
      <w:r>
        <w:t>Il convient donc d'allouer, à la charge de l'Etat, à chaque prévenu une indemnité de 9'396 fr. au titre de l'art. 429 al. 1 let. a CPP. Ce montant tient compte de 28 heures de travail à 300 fr, 300 fr. de débours et 8 % de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