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211 vom 26. Januar 2016</w:t>
      </w:r>
    </w:p>
    <w:p>
      <w:r>
        <w:t>VD Tribunal cantonal, 2016-01-26, FR</w:t>
      </w:r>
    </w:p>
    <w:p>
      <w:r>
        <w:rPr>
          <w:b/>
        </w:rPr>
        <w:t xml:space="preserve">Quelle: </w:t>
      </w:r>
      <w:r>
        <w:t>https://mcp.opencaselaw.ch/entscheid/vd_findinfo_Jug___2016___211</w:t>
      </w:r>
    </w:p>
    <w:p>
      <w:r>
        <w:t>FR: VD_FINDINFO Jug / 2016 / 211 du 26 janvier 2016</w:t>
      </w:r>
    </w:p>
    <w:p>
      <w:r>
        <w:t>IT: VD_FINDINFO Jug / 2016 / 211 del 26 gennaio 2016</w:t>
      </w:r>
    </w:p>
    <w:p>
      <w:pPr>
        <w:pStyle w:val="Heading2"/>
      </w:pPr>
      <w:r>
        <w:t>Regeste</w:t>
      </w:r>
    </w:p>
    <w:p>
      <w:r>
        <w:t>SURSIS À L'EXÉCUTION DE LA PEINE, IN DUBIO PRO REO | 42 al. 1 CP, 42 al. 2 CP, 10 CPP (CH)</w:t>
      </w:r>
    </w:p>
    <w:p>
      <w:pPr>
        <w:pStyle w:val="Heading2"/>
      </w:pPr>
      <w:r>
        <w:t>Erwägungen</w:t>
      </w:r>
    </w:p>
    <w:p>
      <w:r>
        <w:rPr>
          <w:b/>
        </w:rPr>
        <w:t>E. 1</w:t>
      </w:r>
    </w:p>
    <w:p>
      <w:r>
        <w:t>Interjetés dans les formes et délai légaux par des parties ayant qualité pour recourir contre le jugement du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Y.________ conteste sa condamnation pour brigandage. Il considère qu’il existe un doute sur le fait qu’il soit l’auteur du brigandage en question. Il relève que l’enquête a négligé toute mesure d’instruction matérielle, comme une perquisition à son domicile et un contrôle rétroactif pour définir la localisation de son portable, et conteste la force probante des déclarations des témoins, ceux-ci s’étant concertés et influencés et leurs propos ayant évolué en cours de la procédure.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w:t>
      </w:r>
    </w:p>
    <w:p>
      <w:r>
        <w:rPr>
          <w:b/>
        </w:rPr>
        <w:t>E. 3.1.2</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(Corboz, Les infractions en droit suisse, vol. I, 2 e éd. 2010, n° 9 ad art. 140 CP).</w:t>
      </w:r>
    </w:p>
    <w:p>
      <w:r>
        <w:rPr>
          <w:b/>
        </w:rPr>
        <w:t>E. 3.2</w:t>
      </w:r>
    </w:p>
    <w:p>
      <w:r>
        <w:t>En l’occurrence, il doit d’abord être examiné dans quelles conditions les victimes ont aperçu leurs agresseurs. Ensuite, il y aura lieu de se pencher sur les circonstances dans lesquelles quatre d’entre elles ont désigné le prévenu comme l’un deux.</w:t>
      </w:r>
    </w:p>
    <w:p>
      <w:r>
        <w:rPr>
          <w:b/>
        </w:rPr>
        <w:t>E. 3.2.1</w:t>
      </w:r>
    </w:p>
    <w:p>
      <w:r>
        <w:t>Le prévenu soutient ne pas avoir été présent à Lutry lors des faits. Après avoir dit ne plus se souvenir où il était dans la nuit du 11 au 12 avril 2014 (PV aud. 12), il a prétendu s’être alors trouvé à son domicile lausannois en compagnie de son amie [...], après être revenu d’un entraînement de football (PV aud. 13, lignes 44-48). Entendus le 1 er juin 2015 et aux débats de première instance respectivement, celle-ci et [...], père du prévenu, ont confirmé ces dernières déclarations. [...] a précisé avoir passé la soirée en compagnie du prévenu ainsi que des parents et des trois sœurs de celui-ci (PV aud. 14, lignes 32-33). Comme on le verra plus en détail ci-dessous, le prévenu a, initialement, été reconnu par [...], [...] et [...], d’abord sur planches photographiques (PV aud. 8, 9 et 10, respectivement), les 30 avril et 2 mai 2014. Ultérieurement, il l’a été en audition de confrontation (PV aud. 13), puis aux débats de première instance, à ces deux occasions également par [...]. [...] a confirmé ses déclarations à l’audience d’appel. Seul [...] n’a pas été en mesure de reconnaître le prévenu (PV aud. 6; jugement, p. 9). Il résulte des déclarations des plaignants, qu’ils ont tous, excepté [...], et pour cause, puisqu’il a été aveuglé par l’effet du gaz, pu voir clairement le visage du prévenu, qui a utilisé son spray la nuit en question. En effet, il ne faisait pas sombre, les lieux étant éclairés par des lampadaires; à cet égard, [...] a expressément précisé, à l’audience de première instance, qu’ « il y avait pas mal de lampadaires autour (d’eux) lorsqu’(ils ont) été agressés » (jugement, p. 5), ce qu’ont confirmé [...] et [...] (jugement, p. 7 et 8). Qui plus est, l’intéressé s’était approché une première fois du groupe à découvert pour demander une cigarette. Aucun élément ne permet de douter d’observations concordantes faites dans de telles circonstances. Certes, les victimes ne connaissaient alors pas le prévenu et n’ont par conséquent pas pu d’emblée l’identifier. Les cinq plaignants l’ont cependant unanimement décrit, le lendemain des faits déjà, comme « d’origine arabe », respectivement « de type maghrébin » (PV aud. 1 à 5). Ultérieurement, trois d’entre eux [...], [...] et [...]) l’ont reconnu sur les planches photographiques de la police, la dernière victime nommée ajoutant qu’il s’agissant de l’individu qui les avait sprayés (PV aud. 10, R. 5, p. 2). Ce n’est qu’ultérieurement que les victimes ont connu l’identité du prévenu. En effet, les plaignants, après leur agression, ont fait des recherches par le biais de Facebook , soit sur le site de celui des agresseurs dont [...] connaissait l’identité pour avoir fréquenté le même collège que lui (PV aud. 1). On ne saurait admettre qu’en procédant de la sorte, les victimes se seraient toutes trompées et réciproquement influencées. Cela étant, les plaignants ont été formels, tant lors de leurs auditions devant la police (s’agissant de [...], de [...] et d’ [...]) qu’à l’audition de confrontation devant le Procureur (s’agissant de [...], de [...], d’ [...] et de [...]) et devant le Tribunal de police (s’agissant des quatre mêmes), quant au fait qu’ils reconnaissaient le prévenu et qu’ils n’avaient aucun doute à ce sujet. Quatre des cinq plaignants, à savoir ceux qui avaient pu voir le visage de l’agresseur lors de la seconde phase des faits, l’ont ainsi reconnu sans réserve. En outre, on doit relever que la reconnaissance du prévenu s’est faite très rapidement après la commission de l’infraction et n’est pas intervenue plusieurs mois après, ce qui pourrait faire douter de la crédibilité des plaignants. De même, le fait qu’ [...] ait toujours confirmé ne pas reconnaître le prévenu atteste également que les déclarations accusatoires ne découlent pas d’une concertation entre les victimes. De surcroît, aucun des plaignants ne connaissait le prévenu auparavant, de sorte que l’on peut exclure tout dessein de lui nuire. Il n’y a donc pas de motifs de douter de leurs déclarations, qui sont claires et convaincantes.</w:t>
      </w:r>
    </w:p>
    <w:p>
      <w:r>
        <w:rPr>
          <w:b/>
        </w:rPr>
        <w:t>E. 3.2.2</w:t>
      </w:r>
    </w:p>
    <w:p>
      <w:r>
        <w:t>En revanche, les témoignages du père et de l’amie du prévenu doivent être écartés. En effet, d’une part, ils sont intervenus tardivement et on doute que leurs auteurs puissent se souvenir de faits si anciens, s’agissant d’une soirée prétendument passée sans événement particulier après un entraînement de football au jour habituel. D’autre part, il s’agit de proches du prévenu, ce qui est de nature à amenuiser leur valeur probante. Enfin, sa première lettre adressée au procureur, le 27 octobre 2014 (P. 7), ne mentionnait pas son amie, ni même ses parents, en relation avec la soirée qu’il aurait passée avec eux lors des faits après l’entraînement de football dont il faisait état.</w:t>
      </w:r>
    </w:p>
    <w:p>
      <w:r>
        <w:rPr>
          <w:b/>
        </w:rPr>
        <w:t>E. 3.2.3</w:t>
      </w:r>
    </w:p>
    <w:p>
      <w:r>
        <w:t>Qui plus est, les procès-verbaux d’audition ne sollicitent pas les dépositions des personnes entendues. En effet, contrairement à ce que fait plaider le prévenu, ils ne procèdent pas de « couper-coller » des enquêteurs, pas plus qu’ils ne révèleraient une concertation préalable des victimes. Bien plutôt, ils comportent des variations sur ces points accessoires, par exemple quant à la tenue vestimentaire de l’un au moins des agresseurs. Ces divergences apparaissent peu compatibles avec une concertation préalable des victimes, pas plus qu’elles ne le sont avec la simple reprise par traitement de texte de déclarations antérieures. Ainsi, lors du dépôt de sa plainte, [...] a déclaré que l’agresseur qui l’avait sprayé était « habillé avec du bleu » (PV aud. 1), alors qu’à la même occasion, [...] a indiqué que ce même individu était « habillé en noir avec un bonnet bleu » (PV aud. 4). En outre, à l’audience de confrontation, [...] a précisé que l’individu ayant le premier fait usage de son spray portait une écharpe bleue sur le visage (PV aud. 13, lignes 126), alors que [...] a dit ne pas se souvenir de cet élément (PV aud. 13, lignes 179-180). Ces menues variations ajoutent à la crédibilité des victimes. Certes, une plaignante, à savoir [...], n’a, initialement, reconnu que l’un des agresseurs. Le fait qu’elle n’a pas identifié le prévenu ne saurait être retenu à décharge, motif pris qu’il ne figurait pas sur la planche photographique qui lui était alors présentée (annexe au PV aud. 7). Ainsi, [...] et [...] n’ont reconnu formellement que l’individu sous n° 6 de la planche photographique, lequel se trouvait être le prévenu. Bref, les critiques de l’appel déduites des interrogatoires des victimes tombent à faux à cet égard également.</w:t>
      </w:r>
    </w:p>
    <w:p>
      <w:r>
        <w:rPr>
          <w:b/>
        </w:rPr>
        <w:t>E. 3.2.4</w:t>
      </w:r>
    </w:p>
    <w:p>
      <w:r>
        <w:t>En présence des dépositions concordantes des intimés, c’est en vain que le prévenu critique la validité d’une identification sur la base de photos mises en ligne sur Facebook et le fait que le prévenu ait été vu par les plaignants dans la salle des pas-perdus des locaux du Ministère public de l’arrondissement de l’Est vaudois avant l’audition de confrontation.</w:t>
      </w:r>
    </w:p>
    <w:p>
      <w:r>
        <w:rPr>
          <w:b/>
        </w:rPr>
        <w:t>E. 3.2.5</w:t>
      </w:r>
    </w:p>
    <w:p>
      <w:r>
        <w:t>Sur la base de ces éléments, on doit admettre que le prévenu a participé aux faits incriminés, décrits dans l’acte d’accusation. Par identité de motifs, la mesure d’instruction requise doit être tenue pour superflue et ne s’avère du reste pas praticable. Pour le reste, la qualification juridique de brigandage n’est, à juste titre, pas contestée.</w:t>
      </w:r>
    </w:p>
    <w:p>
      <w:r>
        <w:rPr>
          <w:b/>
        </w:rPr>
        <w:t>E. 4</w:t>
      </w:r>
    </w:p>
    <w:p>
      <w:r>
        <w:t>Le Ministère public conteste l’octroi de tout sursis, le pronostic étant défavorable. Il relève que le prévenu a déjà été condamné en 2011 (par la juridiction des mineurs) pour des faits quasiment identiques et qu’il n’a cessé de contester toute participation à l’infraction qui lui est reprochée, ce qui constituerait autant de facteurs de mauvais pronostic.</w:t>
      </w:r>
    </w:p>
    <w:p>
      <w:r>
        <w:rPr>
          <w:b/>
        </w:rPr>
        <w:t>E. 4.1</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w:t>
      </w:r>
    </w:p>
    <w:p>
      <w:r>
        <w:rPr>
          <w:b/>
        </w:rPr>
        <w:t>E. 4.2</w:t>
      </w:r>
    </w:p>
    <w:p>
      <w:r>
        <w:t>Contrairement à ce que semble considérer l’accusation, on ne saurait tenir compte de la précédente condamnation du prévenu, celle-ci n’étant pas inscrite au casier judiciaire. En effet, les condamnations qui ont été radiées du casier judiciaire ne peuvent plus être utilisées pour l'appréciation de la peine ou l'octroi du sursis dans le cadre d'une nouvelle procédure pénale (ATF 135 IV 87). Pour le reste, les éléments ne sont certes pas particulièrement favorables. Ainsi, le prévenu ne travaille pas, mais continue à vivre aux dépens de ses parents et de son amie, alors que son état de santé ne semble pas exclure une activité adaptée. De plus, il persiste à nier les faits qui lui sont reprochés. Il n’en demeure pas moins que le prévenu est condamné pour la première fois à une peine privative de liberté avec un délai d’épreuve fixé au maximum légal (art. 44 al. 1 CP). De plus, le prévenu est jeune et n’avait que 18 ans au moment des faits; il a passé ses examens et est à la recherche d’une nouvelle place d’apprentissage. On doit ainsi admettre que le genre et la durée de la peine auront un effet dissuasif suffisant. Au regard de l’ensemble de ces éléments, le pronostic n’apparaît pas défavorable. C’est donc à bon droit que la peine a été assortie du sursis.</w:t>
      </w:r>
    </w:p>
    <w:p>
      <w:r>
        <w:rPr>
          <w:b/>
        </w:rPr>
        <w:t>E. 5</w:t>
      </w:r>
    </w:p>
    <w:p>
      <w:r>
        <w:t>Vu l'issue des appels, l'émolument d’appel (art. 21 al. 1 et 2 TFIP [Tarif des frais de procédure et indemnités en matière pénale du 28 septembre 2010; RSV 312.03.1]) sera mis par moitié à la charge du prévenu, qui succombe sur les conclusions de son appel (art. 428 al. 1 CPP), le solde étant laissé à la charge de l’Etat dès lors que le Ministère public succombe également sur les conclusions de son appel (art. 423 al. 1 CPP). Le prévenu ne saurait prétendre à une indemnité à forme de l’art. 429 al. 1 let. a CPP du seul fait qu’il obtient gain de cause sur les conclusions de l’appel du Ministère public. En effet, ses conclusions libératoires ne sont guère étayées et s’avèrent du reste, de son propre aveu en plaidoirie, marginales par rapport à celles de son propre appel, dont l’admission aurait sans autre impliqué le rejet de celui du Parquet.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