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202 vom 26. Januar 2016</w:t>
      </w:r>
    </w:p>
    <w:p>
      <w:r>
        <w:t>VD Tribunal cantonal, 2016-01-26, FR</w:t>
      </w:r>
    </w:p>
    <w:p>
      <w:r>
        <w:rPr>
          <w:b/>
        </w:rPr>
        <w:t xml:space="preserve">Quelle: </w:t>
      </w:r>
      <w:r>
        <w:t>https://mcp.opencaselaw.ch/entscheid/vd_findinfo_Jug___2016___202</w:t>
      </w:r>
    </w:p>
    <w:p>
      <w:r>
        <w:t>FR: VD_FINDINFO Jug / 2016 / 202 du 26 janvier 2016</w:t>
      </w:r>
    </w:p>
    <w:p>
      <w:r>
        <w:t>IT: VD_FINDINFO Jug / 2016 / 202 del 26 gennaio 2016</w:t>
      </w:r>
    </w:p>
    <w:p>
      <w:pPr>
        <w:pStyle w:val="Heading2"/>
      </w:pPr>
      <w:r>
        <w:t>Regeste</w:t>
      </w:r>
    </w:p>
    <w:p>
      <w:r>
        <w:t>CONSTATATION DES FAITS, FIXATION DE LA PEINE, COMMERCE DE STUPÉFIANTS, PARTIE CIVILE, CONCLUSIONS | 47 CP, 10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d’A.A.________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soutient en premier lieu que le procès se serait déroulé « dans une ambiance peu conforme au code de procédure pénale », lui-même et son défenseur ayant été « les têtes de turc » des premiers juges lors de l'instruction qui a duré à peine une heure. La procédure par défaut n'aurait pas été respectée en raison de l'absence d'A.________, qui a été jugé par défaut sans fixation de nouveaux débats, le privant ainsi lui-même de la possibilité d'être confronté à ce prévenu qui le mettait en cause. Il soutient en outre que les disjonctions des cas des prévenus N.________ et L.________ l'auraient privé de la possibilité d'être jugé en contradictoire avec ceux-ci. Il relève encore qu'il aurait été sorti de la salle d'audience, sans raison, alors que les débats continuaient et que le prévenu C.________ était entendu sur des faits le concernant. Finalement, l'indication des voies de droit ne lui aurait été ni lue, ni traduite. Tous ces événements auraient selon lui conduit à la fixation d'une peine exagérément sévère à son encontre.</w:t>
      </w:r>
    </w:p>
    <w:p>
      <w:r>
        <w:rPr>
          <w:b/>
        </w:rPr>
        <w:t>E. 3.2</w:t>
      </w:r>
    </w:p>
    <w:p>
      <w:r>
        <w:t>En l’occurrence, quand bien même l’appelant a expressément mentionné qu’il n’entendait pas se prévaloir des prétendus vices de procédure précités pour obtenir l’annulation du jugement attaqué, ces soi-disant vices ne constituant dès lors pas des griefs recevables, on relèvera ce qui suit. A.A.________ ne saurait tout d’abord se prévaloir de la manière dont la procédure par défaut a été appliquée à A.________, qui ne s'est pas présenté. En effet, même à supposer que les premiers juges aient appliqué la procédure ordinaire en cas de défaut et fixé de nouveaux débats, ils auraient pu parfaitement le faire après avoir disjoint le cas d’A.________. Les débats de la cause dirigée contre l'appelant se seraient ainsi poursuivis, comme cela a été le cas. Par ailleurs, constatant le défaut d’A.________ et la poursuite des débats, A.A.________ n'a formulé aucune objection ni réquisition de confrontation. Il ne saurait donc s’en plaindre à ce stade, surtout qu'il ne s’est pas opposé à ce qu’A.________ soit jugé, comme y ont souscrit le défenseur de celui-ci et le procureur (cf. jgt, p. 8). En outre, le sentiment d'avoir été une « tête de turc » ne porte pas en soi atteinte à la régularité des débats. Quant à la disjonction du cas d'autres prévenus, il s’agit d’une circonstance fréquente. Si elle n'est pas toujours souhaitable, elle n'en est pas pour autant illicite. Par ailleurs, A.A.________ aurait tout de même pu, malgré la disjonction, requérir la confrontation aux débats. Mais il ne se plaint pas du rejet d'une telle requête. On ne voit donc pas ce que la disjonction, connue de l'appelant, a pu lui causer comme préjudice. En ce qui concerne la règle de bon sens conduisant à faire sortir une personne de la salle d'audience lors de certaines auditions, notamment pour éviter une collusion ou une collision d'intérêts, elle reste d'actualité à l'aune de l'art. 146 al. 4 CPP (Pitteloud, Code de procédure pénale suisse, Commentaire à l'usage des praticiens, 2012, n. 360, p. 233, et les réf. citées). L'appelant ne saurait donc tirer grief d'avoir été brièvement invité à sortir de la salle d'audience durant l'audition d'un de ses coprévenus. Enfin, l’appelant soutient que l'indication des voies de droit ne lui a été ni lue ni traduite. Le procès-verbal d'audience mentionne cependant l'inverse (jgmt, p. 52) et l'appelant ne soutient pas que cette mention serait contraire à la vérité.</w:t>
      </w:r>
    </w:p>
    <w:p>
      <w:r>
        <w:rPr>
          <w:b/>
        </w:rPr>
        <w:t>E. 4</w:t>
      </w:r>
    </w:p>
    <w:p>
      <w:r>
        <w:t>L’appelant se plaint ensuite d’une constatation inexacte des faits.</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4.2</w:t>
      </w:r>
    </w:p>
    <w:p>
      <w:r>
        <w:t>Tout en admettant avoir participé à un trafic de stupéfiants, l’appelant conteste les quantités de drogue qui sont retenues contre lui. Il soutient en outre n’avoir jamais coupé la drogue lui-même et conteste le fait qu’O.A.________ travaillait pour lui. En l’espèce, le rôle d’A.A.________ dans le trafic de stupéfiants et les quantités de drogue retenues contre lui résultent des mises en cause de N.________, qui s’est entièrement expliqué, d’O.A.________, qui a avoué les faits retenus contre lui et qui met en cause A.A.________ au mépris du risque de représailles, et de C.________ pour le produit de coupage. Les contrôles téléphoniques effectués ont également permis de retracer une bonne partie de la revente de l’héroïne et de démontrer le rôle d’organisateur d’A.A.________, qui distribue les rôles et donne des ordres. S’agissant plus particulièrement du rapport existant entre A.A.________ et O.A.________, outre les éléments précités, un contrôle téléphonique fait mention du fait qu’ A.A.________ a dit à son père qu’il ne voulait pas que son frère vienne en Suisse, dès lors qu’il ne voulait pas le traiter comme O.A.________. Le rapport de subordination d’O.A.________ à A.A.________ ne fait donc aucun doute. Au vu de l’ensemble de ces éléments, il existe un faisceau d’indices concordants permettant de penser qu’A.A.________ est bien l’auteur de l’entier des faits qui lui sont reprochés en matière de stupéfiants. Par ailleurs, les dénégations de l’appelant ne reposent sur aucun élément objectif. Elles sont donc inconsistantes et doivent être écartées.</w:t>
      </w:r>
    </w:p>
    <w:p>
      <w:r>
        <w:rPr>
          <w:b/>
        </w:rPr>
        <w:t>E. 4.3</w:t>
      </w:r>
    </w:p>
    <w:p>
      <w:r>
        <w:t>L’appelant reproche ensuite aux premiers juges d’avoir retenu à son encontre plus de 30 cas de cambriolages, alors qu’il n’en admet que 15 à 20. Là encore, les dénégations de l’appelant sont inconsistantes et doivent être écartées. En effet, les cas de cambriolages retenus contre lui sont fondés sur les mises en cause d’O.A.________, qui a admis les faits qui lui sont reprochés, et de L.________, ainsi que sur le fait qu’il a été localisé sur les lieux des cambriolages par son téléphone cellulaire. Au vu de l’ensemble de ces éléments, la participation du prévenu à plus de 30 cas de cambriolages ne fait aucun doute.</w:t>
      </w:r>
    </w:p>
    <w:p>
      <w:r>
        <w:rPr>
          <w:b/>
        </w:rPr>
        <w:t>E. 4.4</w:t>
      </w:r>
    </w:p>
    <w:p>
      <w:r>
        <w:t>L’appelant soutient encore que ce serait à tort que les premiers juges auraient considéré qu'il était le « cerveau » des opérations en matière de cambriolages, alors qu'en réalité, le leader de ces forfaits était L.________, que le chauffeur indispensable à la commission des méfaits était O.A.________ et que lui-même n’avait qu'un rôle subalterne. Il souligne que c'est également en constatant les faits de manière erronée que le Tribunal aurait retenu, au moment de fixer la peine, qu'il avait déjà été condamné pour vol, alors que tel ne serait pas le cas. En l’occurrence, on peut constater, à la lecture du jugement, qu’il ne figure nulle part qu’A.A.________ serait le « cerveau » en matière de cambriolages. Sa qualification d'organisateur de la bande concerne le volet relatif au trafic de stupéfiants. La seule appréciation du Tribunal en relation avec les vols est qu'A.A.________ est « un meneur ». L'appelant ne conteste pas ce qualificatif, qui correspond du reste assez bien à sa motivation sans faille l'ayant amené à participer à plus d'une trentaine de cambriolages en deux mois, avec à la clé des butins non négligeables et des dégâts considérables. Peu importe qu'il ne conduisait pas ou ne faisait pas les repérages : son intense activité en fait effectivement un délinquant chevronné, qui a agi en bande et par métier, ce qu'il ne conteste du reste pas non plus. Le grief est inconsistant. En revanche, il faut donner acte à A.A.________ que son casier judiciaire ne mentionne pas d'antécédent en matière de vol et que la phrase du jugement selon laquelle il a déjà « été condamné pour vol à une peine avec sursis » résulte d'une erreur. Cela étant, même en admettant que la récidive n'est pas spéciale en matière de vol, il n'en demeure pas moins que les antécédents de l'appelant sont mauvais.</w:t>
      </w:r>
    </w:p>
    <w:p>
      <w:r>
        <w:rPr>
          <w:b/>
        </w:rPr>
        <w:t>E. 5.1</w:t>
      </w:r>
    </w:p>
    <w:p>
      <w:r>
        <w:t>L’appelant, qui conclut au prononcé d’une peine privative de liberté d’ensemble de 4 ans, invoque une violation de l’art. 47 CP. Il se livre à des comparaisons de peines avec d'autres protagonistes de cette affaire, dont certains ont été jugés séparément, à savoir N.________, L.________ et O.A.________, pour exposer que l'important écart de peine avec celles infligées aux prénommés ne se justifierait pas, dès lors qu’il résulterait d'un véritable abus du pouvoir d'appréciation et d'une inégalité de traitement injustifiée. En outre, son absence de collaboration se justifierait par la peur de représailles et ne devrait pas lui porter préjudice. De plus, les premiers juges n'auraient pas retenu certains éléments favorables ressortant du rapport de détention. En conclusion, sa peine serait exagérément sévère.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5.2.2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w:t>
      </w:r>
    </w:p>
    <w:p>
      <w:r>
        <w:rPr>
          <w:b/>
        </w:rPr>
        <w:t>E. 5.2.3</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normalement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6B_553/2014 du 24 avril 2015 consid. 3.4.1 et les arrêts cités, not. ATF 135 IV 191 consid. 3.1 et ATF 120 IV 136 consid. 3a).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 Dupuis et alii, Petit commentaire du Code pénal, Bâle 2012, n. 2a ad art. 47 CP ; Favre, Pellet, Stoudmann, Code pénal annoté, Lausanne 2011, n. 1.12 ad. art. 47 CP).</w:t>
      </w:r>
    </w:p>
    <w:p>
      <w:r>
        <w:rPr>
          <w:b/>
        </w:rPr>
        <w:t>E. 5.3</w:t>
      </w:r>
    </w:p>
    <w:p>
      <w:r>
        <w:t>S’agissant de la comparaison avec les peines des autres protagonistes, l’appelant mentionne d’abord que son fournisseur, N.________, a été condamné à huit ans de peine privative de liberté pour la vente d'une quantité bien plus importante de drogues, soit 2,91 kg d'héroïne pure et 53,34 g de cocaïne pure, alors même qu'il occupait un poste plus élevé dans la hiérarchie du trafic et était moins jeune que lui. On doit cependant relever que ce condamné a été mis au bénéfice d'une bonne collaboration, contrairement à l'appelant, et qu'on ne saurait faire abstraction des très nombreux cambriolages commis par A.A.________ dans le cadre de la fixation de sa peine. La comparaison n'est donc pas pertinente et le grief l'est encore moins si l'on observe que la peine prononcée contre N.________ est supérieure à celle à laquelle a été condamné l’appelant. Le prévenu se prévaut en outre d'une injustice face aux 42 mois de peine privative de liberté prononcés contre le cerveau des cambriolages, L.________, qui a commis sept cas de plus, qui était l'organisateur de ces méfaits et qui avait déjà été condamné six fois pour des faits analogues. Là également, l’appelant perd de vue que L.________ s'est vu attribuer des circonstances à décharge, en raison de sa situation personnelle et de ses aveux. Mais surtout, il oublie que le prénommé n'a pas été condamné pour un important et lucratif trafic de stupéfiants qui ne saurait être sans influence sur la peine. Par rapport à O.A.________, l'appelant constate que l'acte d'accusation comportait le grief qu' «A.A.________ et O.A.________ ont vendu 388,4 g d'héroïne pure » et celui qu' «A.A.________ et O.A.________ ont agi illicitement à propos de 24,84 g de cocaïne pure ». Le jugement leur reprocherait en outre le même nombre de cambriolages. L’appelant oublie toutefois que le jugement explique que le rôle des comparses était différent, entre le meneur A.A.________ et la « petite main » O.A.________, et qu’il retient les antécédents plus lourds du premier. Néanmoins, il faut relever une différence particulièrement importante entre la peine de trois ans avec sursis partiel infligée à O.A.________, que le Tribunal déclare lui-même prononcer « avec une clémence qui confine à la mansuétude », et la peine de sept ans infligée à A.A.________. Cela étant, indépendamment de la comparaison avec les peines prononcées contre d’autres prévenus, il faut bien admettre que la sanction prononcée contre A.A.________ est lourde. Certes, la culpabilité de l'appelant est importante. Il s’est rendu coupable de vol en bande et par métier, dommages à la propriété, violation de domicile, blanchiment d’argent, infraction grave et contravention à la LStup et infraction à la LEtr. Il convient de tenir compte de ses mauvais antécédents, étant rappelé qu’il a déjà été condamné à cinq reprises, dont deux pour délit selon l’art. 19 al. 1 LStup, du fait qu’il était l’organisateur de la bande dans le volet relatif au trafic de stupéfiants, qu’il a écoulé plusieurs kilos d’héroïne en 9 mois et qu’il a commis ou participé à plus de 30 cambriolages en deux mois, seule son interpellation ayant mis fin à son activité délictueuse conséquente et en plein essor. Il convient en outre de relever son absence de prise de conscience et de réels aveux, ainsi que son manque de collaboration. Il n’en demeure pas moins que la peine prononcée à l’encontre d’A.A.________ apparaît un peu excessive. Les dénégations de l’intéressé ne sauraient revêtir un poids écrasant. L’appelant peut en outre être suivi lorsqu'il invoque que son bon comportement en détention aurait pu intervenir à décharge. Par conséquent, pour tenir compte de tous les paramètres énumérés ci-avant, une peine privative de liberté d’ensemble de 6 ans paraît adéquate. Cette peine comprend le solde de détention de 61 jours résultant de la libération conditionnelle, qui lui avait été accordée le 29 avril 2013 par le Tribunal d’application des peines et mesures de Genève et qui doit être révoquée pour les motifs pertinents retenus par les premiers juges, et est très partiellement complémentaire à celle infligée le 1 er avril 2014 par le Ministère public de l’arrondissement de Lausanne. La détention avant jugement sera déduite, de même que 14 jours de détention à titre de réparation du tort moral pour la détention subie dans des conditions illicites.</w:t>
      </w:r>
    </w:p>
    <w:p>
      <w:r>
        <w:rPr>
          <w:b/>
        </w:rPr>
        <w:t>E. 6</w:t>
      </w:r>
    </w:p>
    <w:p>
      <w:r>
        <w:t>Pour les motifs pertinents retenus par le Tribunal criminel, il convient en outre de révoquer le sursis accordé à A.A.________ le 9 décembre 2012 par le Ministère public de Genève et d’ordonner l’exécution de la peine privative de liberté de 6 mois, moins un jour de détention préventive.</w:t>
      </w:r>
    </w:p>
    <w:p>
      <w:r>
        <w:rPr>
          <w:b/>
        </w:rPr>
        <w:t>E. 7.1</w:t>
      </w:r>
    </w:p>
    <w:p>
      <w:r>
        <w:t>Enfin, l’appelant se plaint de l'allocation de leurs conclusions civiles aux victimes des cambriolages I.________SA, U.________ et M.________. Il requiert comme mesure d'instruction la production des pièces versées au dossier par ces plaignantes dans le cadre de la procédure pénale dirigée contre L.________ pour les mêmes cambriolages et dans laquelle les plaignantes précitées avaient, par jugement du 25 novembre 2015 du Tribunal d’arrondissement de l’Est vaudois, obtenu uniquement acte de leurs réserves civiles. Il estime en outre que la solidarité avec les coauteurs aurait dû être réservée.</w:t>
      </w:r>
    </w:p>
    <w:p>
      <w:r>
        <w:rPr>
          <w:b/>
        </w:rPr>
        <w:t>E. 7.2</w:t>
      </w:r>
    </w:p>
    <w:p>
      <w:r>
        <w:t>La mesure d'instruction requise est sans pertinence. Peu importe ce qui a été produit dans le cadre de la procédure pénale dirigée contre L.________, puisque l'appelant n'expose pas en quoi les pièces produites dans le cadre de la présente procédure n'auraient pas permis d'allouer leurs conclusions civiles aux plaignantes. Peu importe également l'appréciation du Tribunal de l’arrondissement de l'Est vaudois, qui ne liait évidemment pas les premiers juges. Pour le surplus, il y a lieu d’admettre avec l’appelant que la solidarité avec les coauteurs, en particulier avec L.________, aurait dû être réservée.</w:t>
      </w:r>
    </w:p>
    <w:p>
      <w:r>
        <w:rPr>
          <w:b/>
        </w:rPr>
        <w:t>E. 8.1</w:t>
      </w:r>
    </w:p>
    <w:p>
      <w:r>
        <w:t>A teneur de l’art. 83 al. 1 CPP, l'autorité pénale qui a rendu un prononcé dont le dispositif est peu clair, contradictoire ou incomplet ou qui est en contradiction avec l'exposé des motifs, l'explique ou le rectifie à la demande d'une partie ou d'office.</w:t>
      </w:r>
    </w:p>
    <w:p>
      <w:r>
        <w:rPr>
          <w:b/>
        </w:rPr>
        <w:t>E. 8.2</w:t>
      </w:r>
    </w:p>
    <w:p>
      <w:r>
        <w:t>Le dispositif initialement rendu dans la présente affaire, notifié aux parties le 14 juin 2016, ne prenait pas en compte la nouvelle répartition des frais résultant de l’arrêt rendu le 4 avril 2016 par le Juge unique de la Chambre des recours pénale. Le dispositif notifié aux parties doit donc être rectifié dans ce sens.</w:t>
      </w:r>
    </w:p>
    <w:p>
      <w:r>
        <w:rPr>
          <w:b/>
        </w:rPr>
        <w:t>E. 9</w:t>
      </w:r>
    </w:p>
    <w:p>
      <w:r>
        <w:t>En définitive, l’appel doit être partiellement admis et le jugement attaqué réformé dans le sens des considérants qui précèdent. Vu la mesure dans laquelle l'appelant obtient gain de cause, les frais de la procédure d'appel seront mis pour moitié à sa charge, le solde étant laissé à la charge de l’Etat (art. 428 al. 1, 1 ère phrase, CPP). Outre l'émolument de jugement, qui se monte à 2'270 fr. (art. 21 al. 1 et 2 TFIP [Tarif des frais de procédure et indemnités en matière pénale du 28 septembre 2010; RSV 312.03.1]), ces frais comprennent l’indemnité allouée à son défenseur d’office. Au vu de la liste des opérations produite, c’est une indemnité de 2'786 fr. 40, correspondant à 13 heures d’activité à 180 fr. et deux vacations à 120 fr., plus la TVA, qui doit être allouée au défenseur d’office d’A.A.________ pour la procédure d’appel. L'appelant ne sera tenu de rembourser à l’Etat la moitié du montant de l'indemnité prévue ci-dessus que lorsque sa situation financière le permettra (art. 135 al. 4 let. a CPP). La Cour d’appel pénale, appliquant les art. 40, 46 al. 1, 47, 49 al. 1 et 2, 50, 51, 69, 70, 89 al. 1 et 6, 139 ch. 1 et 3 al. 2, 144 al. 1, 186, 305 bis ch. 1 CP ; 19 al. 1 let. b et c et al. 2 let. a et b et 19a LStup ; 115 al. 1 let. b LEtr  et 398 ss CPP, prononce : I. L’appel est partiellement admis. II. Le jugement rendu le 26 janvier 2016 par le Tribunal criminel de l’arrondissement de Lausanne est modifié comme il suit aux chiffres VII, XVII et XVIII de son dispositif, le dispositif du jugement étant désormais le suivant : " I. à V.              inchangés; VI. constate qu’A.A.________ s’est rendu coupable de vol en bande et par métier, dommages à la propriété, violation de domicile, blanchiment d’argent, infraction grave et contravention à la LStup et infraction à la LEtr; VII. ordonne la réintégration d’A.A.________ et le condamne à une peine d’ensemble de 6 ans de peine privative de liberté, sous déduction de 623 jours de détention avant jugement au total, et de 14 jours à titre de réparation pour détention dans des conditions illicites, peine très partiellement complémentaire à celle infligée le 1 er avril 2014 par le Ministère public de l’arrondissement de Lausanne; VIII. révoque le sursis accordé à A.A.________ le 9 décembre 2012 par le Ministère public de Genève et ordonne l’exécution de la peine privative de liberté de 6 mois, moins un jour de détention préventive; IX. ordonne le maintien en détention d’A.A.________; X. à XVI. inchangés; XVII. dit qu’A.A.________, O.A.________ et C.________ sont solidairement débiteurs, la solidarité avec d’autres coauteurs étant réservée, de : - I.________SA, à Aigle, de la somme de 2'651 fr. 40 ; - U.________, à Noville, de la somme de 8'788 fr. 40 ; XVIII. dit qu’A.A.________ et A.A.________ sont solidairement débiteurs, la solidarité avec d’autres coauteurs étant réservée, de M.________, à Morges, de la somme de 16'139 fr. 40 ; XIX. inchangé; XX. ordonne la confiscation, cas échéant destruction des objets séquestrés sous fiche 59258, ainsi que la dévolution à l’Etat, en imputation des frais de justice dus par A.A.________ de la somme de 865 fr. 35 (fiche 58111); XXI. à XXIII. inchangés; XXIV. met une part des frais, par 56'789 fr. 65, à la charge d’A.A.________, montant incluant l’indemnité due à son défenseur d’office, par 18'663 fr. 20, dont le remboursement à l’Etat n’est exigible que si la situation financière du débiteur le permet; XXV. inchangé." III. La détention subie depuis le jugement de première instance est déduite. IV. Le maintien en détention d’A.A.________ à titre de sûreté est ordonné. V. Une indemnité de défenseur d'office pour la procédure d'appel d'un montant de 2'786 fr. 40 , TVA comprise, est allouée à Me Adrien Gutowski. VI. Les frais d'appel, par 5’056 fr. 40, y compris l'indemnité allouée au défenseur d'office, sont mis par moitié à la charge d’A.A.________, le solde étant laissé à la charge de l’Etat. VII. A.A.________ ne sera tenu de rembourser à l’Etat la moitié du montant de l’indemnité en faveur de son défenseur d’office prévue au ch. V ci-dessus que lorsque sa situation financière le permettra . Le président :              La greffière : Du</w:t>
      </w:r>
    </w:p>
    <w:p>
      <w:r>
        <w:rPr>
          <w:b/>
        </w:rPr>
        <w:t>E. 14</w:t>
      </w:r>
    </w:p>
    <w:p>
      <w:r>
        <w:t>juin 2016 Le dispositif du jugement qui précède est communiqué à l’appelant et aux autres intéressés. La greffière : Du Le jugement qui précède, dont la rédaction a été approuvée à huis clos, est notifié, par l'envoi d'une copie complète, à : - Me Adrien Gutowski, avocat (pour A.A.________), - I.________SA, - U.________, - M.________, - Ministère public central, une copie du jugement est adressée à : - Me Lionel Zeiter, avocat (pour O.A.________), - Me Nicolas Blanc, avocat (pour C.________), - Me Anne-Luce Julsaint Buonomo, avocate (pour A.________), - [...] SA, - [...] Sàrl, - M. [...], - M. le Président du Tribunal criminel de l'arrondissement de Lausanne, - M. le Procureur du Ministère public Strada, - Office d'exécution des peines, - Prison de la Croisée, - Ministère public de la Confédération, - Service de la population, Secteur A, - Office fédéral des migrations, - Bureau de communication en matière de blanchiment d’argent,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