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200 vom 18. Februar 2016</w:t>
      </w:r>
    </w:p>
    <w:p>
      <w:r>
        <w:t>VD Tribunal cantonal, 2016-02-18, FR</w:t>
      </w:r>
    </w:p>
    <w:p>
      <w:r>
        <w:rPr>
          <w:b/>
        </w:rPr>
        <w:t xml:space="preserve">Quelle: </w:t>
      </w:r>
      <w:r>
        <w:t>https://mcp.opencaselaw.ch/entscheid/vd_findinfo_Jug___2016___200</w:t>
      </w:r>
    </w:p>
    <w:p>
      <w:r>
        <w:t>FR: VD_FINDINFO Jug / 2016 / 200 du 18 février 2016</w:t>
      </w:r>
    </w:p>
    <w:p>
      <w:r>
        <w:t>IT: VD_FINDINFO Jug / 2016 / 200 del 18 febbraio 2016</w:t>
      </w:r>
    </w:p>
    <w:p>
      <w:pPr>
        <w:pStyle w:val="Heading2"/>
      </w:pPr>
      <w:r>
        <w:t>Regeste</w:t>
      </w:r>
    </w:p>
    <w:p>
      <w:r>
        <w:t>DÉTOURNEMENT D'OBJETS SOUS MAIN DE JUSTICE, RÉVOCATION DU SURSIS | 169 CP, 42 CP, 46 al.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conteste sa condamnation pour détournement de valeurs patrimoniales mises sous main de justice. Il fait valoir qu'il avait refusé de signer le procès-verbal de saisie du 1 er octobre 2014 relatif au calcul de la saisie. Il avait également sollicité le 28 octobre 2014 une réévaluation du montant de la saisie. Il soutient, sur cette base, qu'il ne disposait pas du minimum vital pour respecter la saisie de 850 fr. par mois entre les mois de mars et septembre 2014. En outre, il n'aurait jamais eu l'intention de léser ses créanciers, ayant toujours agi de bonne foi dans ses démarches administratives auprès de l'office des poursuites et étant persuadé que la créance de [...], soit l'une de celles à l'origine de la saisie, n'était pas due.</w:t>
      </w:r>
    </w:p>
    <w:p>
      <w:r>
        <w:rPr>
          <w:b/>
        </w:rPr>
        <w:t>E. 3.1</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ATF 96 IV 111 consid.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consid. 2). Si les gains du débiteur ont été inférieurs aux prévisions, le juge pénal, en suivant les règles de la LP (Loi fédérale sur la poursuite pour dettes et la faillite du 11 avril 1889 ; RS 281.1), doit déterminer lui-même dans quelle mesure le débiteur pouvait et devait respecter la saisie (ATF 96 IV 111 consid. 3;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Les infractions en droit suisse, vol. I, 3 e édition,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JdT 1994 I 802, JdT 1995 IV 121; Corboz, op. cit., n. 18 ad art. 169 CP). L'infraction est intentionnelle, mais le dol éventuel suffit (ATF 121 IV 357 consid. 2). Il faut donc que l'auteur sache que la valeur patrimoniale a été mise sous main de justice ou qu'il accepte cette éventualité (Corboz, op. cit., n. 21 ad art. 169 CP). Il faut encore que l'auteur ait la volonté ou accepte de nuire aux créanciers (ATF 121 IV 357 consid. 2; Corboz, op. cit., n. 24 ad art. 169 CP).</w:t>
      </w:r>
    </w:p>
    <w:p>
      <w:r>
        <w:rPr>
          <w:b/>
        </w:rPr>
        <w:t>E. 3.2</w:t>
      </w:r>
    </w:p>
    <w:p>
      <w:r>
        <w:t>C'est d'abord en vain que l'appelant conteste le bien-fondé de la créance à l'origine de la saisie, dès lors qu'il ne conteste pas qu'une décision de saisie de salaire ait été valablement rendue par l'office des poursuites. L'appelant fait ensuite valoir que son loyer n'a pas été pris en compte correctement et qu'il aurait été de 1'260 fr. lorsqu'il était domicilié à Vevey, soit durant la période concernée par la saisie. Le premier juge s'est toutefois écarté des affirmations de l'appelant, en considérant qu'il avait lui-même indiqué à l'office des poursuites que son loyer s'élevait à 500 fr. lors de son audition par le préposé le 6 août 2013. Il avait ainsi précisé vivre en concubinage avec M.________, la titulaire du bail, et participer au paiement du loyer à hauteur de 500 fr. (P. 19/9). Le contrat de bail conclu avec la prénommée dont il se prévaut pour soutenir qu'il assumait l'entier du loyer de 1'260 fr. (P.19/5) est dépourvu de valeur probante, puisque portant sur une période antérieure aux déclarations du prévenu lors de l'examen de la situation financière du débiteur par l'office des poursuites. Du reste, comme l'a relevé le premier juge, on conçoit difficilement que l'appelant ait pu assumer seul le loyer, alors qu'il réalisait un revenu de 2'220 fr. par mois au moment de son audition par l'office des poursuites. Enfin, le fait que l’appelant ait refusé de signer le procès-verbal de saisie du 1 er octobre 2014 ne change rien à ces considérations. Contrairement à ce que soutient l'appelant, il ne peut pas être mis au bénéfice de la bonne foi s'agissant de ses démarches administratives vis-à-vis de l'office des poursuites. Il apparaît en effet qu'il n'a pas annoncé à l'autorité son nouvel emploi, qu’il a débuté le 1 er mars 2014, lui procurant un revenu supérieur, soit de 2'900 fr., alors même qu'il avait été condamné en novembre 2013 pour détournement de valeurs patrimoniales mises sous main de justice. C'est donc également en vain que l'appelant plaide l'absence d'élément subjectif de l'infraction. Il résulte clairement de son absence de collaboration avec l'office des poursuites qu'il a cherché à dissimuler ses revenus dans l'intention d'échapper à ses créanciers. De la même manière, sa prétendue contestation de la dette envers le créancier poursuivant qui a déposé plainte ne change rien au fait que d'autres créanciers participant à la même série ont été lésés. Avec le premier juge, il faut donc admettre que l'appelant a agi dolosivement, à tout le moins par dol éventuel. La condamnation pour détournement de valeurs patrimoniales mises sous main de justice doit ainsi être confirmée.</w:t>
      </w:r>
    </w:p>
    <w:p>
      <w:r>
        <w:rPr>
          <w:b/>
        </w:rPr>
        <w:t>E. 4</w:t>
      </w:r>
    </w:p>
    <w:p>
      <w:r>
        <w:t>E.________, qui concluait à son acquittement, ne conteste pas la peine en tant que telle. Examinée d’office par la Cour d’appel, la peine pécuniaire de 45 jours-amende prononcée par le premier juge, complémentaire à celle prononcée le 23 octobre 2014 par le Ministère public de l’arrondissement de l’Est vaudois, a été fixée en application de critères adéquats à charge et à décharge et conformément à la culpabilité de l’appelant. Elle doit dès lors être confirmée. Il en va de même du montant du jour-amende, fixé à 20 fr., au vu de la situation financière de l’intéressé.</w:t>
      </w:r>
    </w:p>
    <w:p>
      <w:r>
        <w:rPr>
          <w:b/>
        </w:rPr>
        <w:t>E. 5</w:t>
      </w:r>
    </w:p>
    <w:p>
      <w:r>
        <w:t>L'appelant plaide subsidiairement le sursis et la non-révocation d'un précédent sursis.</w:t>
      </w:r>
    </w:p>
    <w:p>
      <w:r>
        <w:rPr>
          <w:b/>
        </w:rPr>
        <w:t>E. 5.1.1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5.1.2</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5.2</w:t>
      </w:r>
    </w:p>
    <w:p>
      <w:r>
        <w:t>L'appelant est un multirécidiviste, ayant été condamné à six reprises en moins de dix ans. Il est en état de récidive spéciale pour l'infraction de détournement de valeurs patrimoniales mises sous main de justice. Alors même qu'il en connaissait les conséquences, il ne s’est pas conformé à la décision de l’office des poursuites, puisqu’il n’a pas payé les montants saisis malgré son revenu. Il a en outre persisté à vouloir nier toute responsabilité dans ses carences. Le pronostic est ainsi clairement défavorable, si bien que c’est à juste titre que le premier juge a prononcé une peine ferme. Enfin, comme le paiement d'une seule peine pécuniaire n’apparait pas suffisant à amender l’appelant au vu des considérations qui précèdent, la révocation du sursis accordé le 22 novembre 2013 par le Ministère public de l’arrondissement de l’Est vaudois doit être confirmée.</w:t>
      </w:r>
    </w:p>
    <w:p>
      <w:r>
        <w:rPr>
          <w:b/>
        </w:rPr>
        <w:t>E. 6</w:t>
      </w:r>
    </w:p>
    <w:p>
      <w:r>
        <w:t>En définitive, l’appel d’E.________ doit être rejeté et le jugement attaqué intégralement confirmé. Vu l’issue de la cause, les frais de la procédure d’appel, constitués du seul émolument d’arrêt, par 1’390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