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196 vom 11. Januar 2016</w:t>
      </w:r>
    </w:p>
    <w:p>
      <w:r>
        <w:t>VD Tribunal cantonal, 2016-01-11, FR</w:t>
      </w:r>
    </w:p>
    <w:p>
      <w:r>
        <w:rPr>
          <w:b/>
        </w:rPr>
        <w:t xml:space="preserve">Quelle: </w:t>
      </w:r>
      <w:r>
        <w:t>https://mcp.opencaselaw.ch/entscheid/vd_findinfo_Jug___2016___196</w:t>
      </w:r>
    </w:p>
    <w:p>
      <w:r>
        <w:t>FR: VD_FINDINFO Jug / 2016 / 196 du 11 janvier 2016</w:t>
      </w:r>
    </w:p>
    <w:p>
      <w:r>
        <w:t>IT: VD_FINDINFO Jug / 2016 / 196 del 11 gennaio 2016</w:t>
      </w:r>
    </w:p>
    <w:p>
      <w:pPr>
        <w:pStyle w:val="Heading2"/>
      </w:pPr>
      <w:r>
        <w:t>Regeste</w:t>
      </w:r>
    </w:p>
    <w:p>
      <w:r>
        <w:t>CAPACITÉ DE CONDUIRE, SÉJOUR ILLÉGAL, TRAVAIL AU NOIR | 106 CP, 40 CP, 41 CP, 46 CP, 49 CP, 50 CP, 91 al. 2 LCR, 91 LCR, 115 al. 1 let. b LEtr, 115 LEtr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mois est adéquate.</w:t>
      </w:r>
    </w:p>
    <w:p>
      <w:r>
        <w:rPr>
          <w:b/>
        </w:rPr>
        <w:t>E. 3.1</w:t>
      </w:r>
    </w:p>
    <w:p>
      <w:r>
        <w:t>in fine et les réf. citées). Une peine pécuniaire peut être exclue pour des motifs de prévention spéciale (TF 6B_128/2011 du 14 juin 2011, consid. 3.4) ou parce qu'elle prive le prévenu du nécessaire, voire de l'indispensable (ATF 134 IV 97 consid. 5.2.3). En l’espèce, une peine privative de liberté s’impose pour des motifs de prévention spéciale. Ce prévenu est jugé pour avoir circulé en état d'ébriété qualifié (1,37 ‰ ; taux le plus favorable), alors qu'il avait déjà été condamné à trois reprises en cinq ans pour des violations de la loi sur la circulation routière, dont une violation grave en 2008. Une peine pécuniaire ne serait en l'état pas exécutable par ce prévenu sans travail et sans revenu, qui vit de ceux de son épouse. Un travail d'intérêt général n'est pas davantage exécutable puisque H.________ veut aider son épouse, qui souffre de fibromyalgie, dans toutes les tâches ménagères et dans son quotidien.</w:t>
      </w:r>
    </w:p>
    <w:p>
      <w:r>
        <w:rPr>
          <w:b/>
        </w:rPr>
        <w:t>E. 3.1.1</w:t>
      </w:r>
    </w:p>
    <w:p>
      <w:r>
        <w:t>Le droit au sursis s'examine selon les critères posés à l'art. 42 CP qui ont été rappelés dans l'arrêt publié aux ATF 135 IV 180 consid. 2.1. Le sursis est désormais la règle dont on ne peut s'écarter qu'en présence d'un pronostic défavorable. Il prime en cas d'incertitude (ATF 134 IV 5 consid. 4.2.2). A lire le casier judiciaire de H.________, on constate qu'il persiste à commettre des infractions à la LCR, en dépit des peines pécuniaires prononcées à son encontre et de celles qu'il a déjà exécutées en particulier après la révocation d'un sursis intervenue le 9 mai 2012. Vu l'absence de prise de conscience révélée par ce qui précède, le pronostic est défavorable de sorte que les conditions du droit aux sursis ne sont pas réunies.</w:t>
      </w:r>
    </w:p>
    <w:p>
      <w:r>
        <w:rPr>
          <w:b/>
        </w:rPr>
        <w:t>E. 3.1.2</w:t>
      </w:r>
    </w:p>
    <w:p>
      <w:r>
        <w:t>Dans un arrêt 6B_599/2011 du 16 mars 2012, le Tribunal fédéral pose que le juge doit motiver le choix de la courte peine privative de liberté ferme de manière circonstanciée. Il ne lui suffit pas d'expliquer pourquoi une peine privative de liberté ferme semble adéquate, mais il devra également mentionner clairement en quoi les conditions du sursis ne sont pas réunies, en quoi il y a lieu d'admettre que la peine pécuniaire ne paraît pas exécutable et en quoi un travail d'intérêt général ne semble pas non plus exécutable (consid.</w:t>
      </w:r>
    </w:p>
    <w:p>
      <w:r>
        <w:rPr>
          <w:b/>
        </w:rPr>
        <w:t>E. 3.2</w:t>
      </w:r>
    </w:p>
    <w:p>
      <w:r>
        <w:t>Les conditions de l'art. 41 CP étant réunies, une courte peine privative de liberté ferme sera infligée à H.________. Il reste à en fixer la quotité. Le Ministère public demande 120 jours.</w:t>
      </w:r>
    </w:p>
    <w:p>
      <w:r>
        <w:rPr>
          <w:b/>
        </w:rPr>
        <w:t>E. 3.2.1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 CREP 10 août 2015/249 consid. 5.3.1).</w:t>
      </w:r>
    </w:p>
    <w:p>
      <w:r>
        <w:rPr>
          <w:b/>
        </w:rPr>
        <w:t>E. 3.2.2</w:t>
      </w:r>
    </w:p>
    <w:p>
      <w:r>
        <w:t>En l'espèce, culpabilité de H.________ est importante. En effet, il a conduit son véhicule avec un taux d'alcoolémie de 1,37 ‰ au minimum, mettant ainsi gravement en danger la sécurité publique. A charge, le prévenu a été condamné à trois reprises en cinq ans pour des infractions à la LCR, dont une violation grave en 2008. A décharge, il est en Suisse depuis plus de 30 ans, a perdu son permis à la suite de son divorce en 2012 et cherche à régulariser sa situation. Au vu de ces circonstances et de la faute commise, une courte peine privative de liberté ferme de</w:t>
      </w:r>
    </w:p>
    <w:p>
      <w:r>
        <w:rPr>
          <w:b/>
        </w:rPr>
        <w:t>E. 3.3</w:t>
      </w:r>
    </w:p>
    <w:p>
      <w:r>
        <w:t>La courte peine privative de liberté infligée à H.________ n'est pas complémentaire à celles prononcées antérieurement, puisqu'elle est d'un genre différent (art. 49 al.1 CP; TF 6B_1082 du 18 juillet 2011 consid. 2.2 et les références citées).</w:t>
      </w:r>
    </w:p>
    <w:p>
      <w:r>
        <w:rPr>
          <w:b/>
        </w:rPr>
        <w:t>E. 4</w:t>
      </w:r>
    </w:p>
    <w:p>
      <w:r>
        <w:t>Le Ministère public requiert la révocation du sursis le plus ancien accordé le 9 mai 2012, motif pris que les condamnations antérieures n'auraient pas suffi à détourner le prévenu de la récidive. L'autorité de première instance a renoncé à révoquer ce sursis mais l'a prolongé d'un an.</w:t>
      </w:r>
    </w:p>
    <w:p>
      <w:r>
        <w:rPr>
          <w:b/>
        </w:rPr>
        <w:t>E. 4.1</w:t>
      </w:r>
    </w:p>
    <w:p>
      <w:r>
        <w:t>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p. 143). Elle correspond donc à l’une des conditions de l’octroi du sursis, de sorte que, comme dans ce dernier cas, le pronostic à émettre doit reposer sur une appréciation d’ensemble de tous les éléments pertinents (arrêt précité, consid. 4.4 et les arrêts cités in TF 6B_855/2010 du 7 avril 2011, consid. 2.1).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par l’effet de choc et d’avertissement (Schock-und Warnungswirkung) issu de la condamnation précédente, y compris en ce qui concerne l’aménagement ultérieur de la vie de l’intéressé, conduire à nier l’existence d’un pronostic défavorable pour la nouvelle peine et, partant, à assortir cette dernière du sursis (ATF 134 IV 140 consid. 4.5 p. 144, spéc. 147 ss).</w:t>
      </w:r>
    </w:p>
    <w:p>
      <w:r>
        <w:rPr>
          <w:b/>
        </w:rPr>
        <w:t>E. 4.2</w:t>
      </w:r>
    </w:p>
    <w:p>
      <w:r>
        <w:t>En l'occurrence, la courte peine privative de liberté infligée est susceptible d'avoir un effet dissuasif suffisant sur ce prévenu qui a toujours été condamné à des peines pécuniaires et qui cherche à se stabiliser socialement. Il n'y a donc pas lieu de revoir le jugement entrepris sur ce point.</w:t>
      </w:r>
    </w:p>
    <w:p>
      <w:r>
        <w:rPr>
          <w:b/>
        </w:rPr>
        <w:t>E. 5</w:t>
      </w:r>
    </w:p>
    <w:p>
      <w:r>
        <w:t>L'amende de 480 fr. infligée en première instance n'a pas été remise en cause. Il n'y a donc pas lieu d'y revenir.</w:t>
      </w:r>
    </w:p>
    <w:p>
      <w:r>
        <w:rPr>
          <w:b/>
        </w:rPr>
        <w:t>E. 6</w:t>
      </w:r>
    </w:p>
    <w:p>
      <w:r>
        <w:t>En définitive, l’appel doit être partiellement admis et le dispositif du jugement de première instance modifié dans le sens des considérants. Vu le sort de l'appel, les frais de la procédure d'appel, par 1'280 fr. seront mis par moitié (soit 640 fr.) à la charge de H.________ (art. 428 al. 1 CPP), le solde (soit 640 fr.) étant laissé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