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193 vom 5. Januar 2016</w:t>
      </w:r>
    </w:p>
    <w:p>
      <w:r>
        <w:t>VD Tribunal cantonal, 2016-01-05, FR</w:t>
      </w:r>
    </w:p>
    <w:p>
      <w:r>
        <w:rPr>
          <w:b/>
        </w:rPr>
        <w:t xml:space="preserve">Quelle: </w:t>
      </w:r>
      <w:r>
        <w:t>https://mcp.opencaselaw.ch/entscheid/vd_findinfo_Jug___2016___193</w:t>
      </w:r>
    </w:p>
    <w:p>
      <w:r>
        <w:t>FR: VD_FINDINFO Jug / 2016 / 193 du 5 janvier 2016</w:t>
      </w:r>
    </w:p>
    <w:p>
      <w:r>
        <w:t>IT: VD_FINDINFO Jug / 2016 / 193 del 5 gennaio 2016</w:t>
      </w:r>
    </w:p>
    <w:p>
      <w:pPr>
        <w:pStyle w:val="Heading2"/>
      </w:pPr>
      <w:r>
        <w:t>Regeste</w:t>
      </w:r>
    </w:p>
    <w:p>
      <w:r>
        <w:t>FIXATION DE LA PEINE | 47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invoque une violation de l'art. 146 al. 1 CP (Code pénal suisse du 21 décembre 1937 ; RS 311.0). Il semble soutenir que la production de son faux document devant le juge de la faillite n'aurait pas suffisamment mis en danger les intérêts pécuniaires de ses créanciers, de sorte que l'infraction d'escroquerie ne serait pas réalisée.</w:t>
      </w:r>
    </w:p>
    <w:p>
      <w:r>
        <w:rPr>
          <w:b/>
        </w:rPr>
        <w:t>E. 3.1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w:t>
      </w:r>
    </w:p>
    <w:p>
      <w:r>
        <w:t>En l’espèce, il n’est pas contesté que W.________ a tenté de tromper la Présidente du Tribunal d’arrondissement de Lausanne en voulant lui faire croire qu’il avait versé le montant litigieux dans les délais, dans le but d’éviter sa mise en faillite. A l’instar du premier juge, il y a effectivement lieu de retenir que l’appelant voulait obtenir un enrichissement indu à l’aide d’un montage astucieux, soit la production du récépissé postal falsifié. L’appelant soutient qu’il ne visait pas à obtenir un avantage patrimonial. A tort. En effet, en procédant de cette manière, il évitait sa faillite en causant un dommage à son et ses créanciers qui avaient initié cette procédure. On ne voit d’ailleurs pas quel autre dessein aurait poussé l’appelant à tromper le juge. Compte tenu de ce qui précède, c’est à juste titre que le tribunal a retenu que l’appelant s’est rendu coupable de tentative d’escroquerie, dès lors que la supercherie a été déjouée avant que le résultat se soit réalisé.</w:t>
      </w:r>
    </w:p>
    <w:p>
      <w:r>
        <w:rPr>
          <w:b/>
        </w:rPr>
        <w:t>E. 4</w:t>
      </w:r>
    </w:p>
    <w:p>
      <w:r>
        <w:t>L’appelant conteste la peine qui lui a été infligée, qu’il trouve trop sévère. Il soutient que le tribunal n’aurait pas suffisamment instruit les éléments à sa décharge, notamment s’agissant de sa situation financière et morale difficiles au moment des faits.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Selon l’art. 47 al. 1 in fine CP, le juge doit aussi avoir égard à l’effet de la peine sur l’avenir du condamné ; il s’agit d’éviter les sanctions susceptibles de compromettre l’évolution favorable de ce dernier ; cet aspect de prévention spéciale ne saurait toutefois conduire à prononcer une peine qui ne correspondrait plus à la culpabilité du condamné (ATF 134 IV 17 ; TF 6B_706/2008 du 3 décembre 2008 consid. 2.2 ; TF 6B_237/2007 du 5 octobre 2007 consid. 2.2 ; TF 6B_14/2007 du 17 avril 2007 consid. 5.2).</w:t>
      </w:r>
    </w:p>
    <w:p>
      <w:r>
        <w:rPr>
          <w:b/>
        </w:rPr>
        <w:t>E. 4.2</w:t>
      </w:r>
    </w:p>
    <w:p>
      <w:r>
        <w:t>La peine privative de liberté de douze mois infligée à l’appelant par le premier juge paraît certes assez sévère, tant dans son genre que dans sa quotité. Cela étant, la culpabilité de l’appelant est lourde et les faits sont graves, notamment compte tenu des montants soustraits à la caisse de chômage. Il a en outre lourdement récidivé dans le même domaine d’infractions et dans le délai d’épreuve assortissant la peine précédente de vingt-quatre mois avec sursis. De surcroît, alors même que la procédure pénale concernant les faits dénoncés par la Caisse cantonale de chômage était pendante devant le Tribunal de police, l’appelant a tenté de tromper le juge civil en produisant un faux dans le cadre d’une procédure de mise en faillite, se rendant ainsi une nouvelle fois coupable de plusieurs infractions. Les éléments qui précèdent signent l’ancrage durable de l’appelant dans la délinquance. Enfin, le concours d’infractions devra être pris en compte. S’agissant des éléments à décharge, le tribunal a relevé la mauvaise situation personnelle et économique de l’appelant et son anxiété de ne pas pouvoir satisfaire aux exigences imposées par la règle de conduite ordonnée par le Tribunal cantonal du Valais, en précisant toutefois qu’il ne s’agissait pas d’excuses valables. Cette appréciation ne prête pas le flanc à la critique. Par ailleurs, les aveux de l’appelant, son bon comportement au cours de la procédure et le trouble de l’adaptation dont il fait état devront également être retenus en faveur de l’appelant. Le genre de peine prononcé par le tribunal répond à un impératif de prévention spéciale. Une peine moins incisive ne saurait en effet être infligée lorsqu’une peine privative de liberté importante, certes prononcée avec sursis, n’a pas eu l’effet dissuasif escompté. De plus, une peine pécuniaire n’aurait guère de sens en l’espèce et apparaitrait comme symbolique, car la valeur du jour-amende ne pourrait pas être arrêtée à plus de 10 fr. vu la situation financière de l’appelant. S’agissant de la quotité, la Cour de céans, procédant à sa propre appréciation, est d’avis qu’une peine privative de liberté de huit mois est adéquate pour réprimer le comportement fautif de l’appelant. L’exécution d’une telle peine étant compatible avec le régime de la semi-détention (art. 77b CP), elle n’entravera pas la resocialisation de l’auteur et les efforts qu’il paraît avoir fournis ces derniers mois.</w:t>
      </w:r>
    </w:p>
    <w:p>
      <w:r>
        <w:rPr>
          <w:b/>
        </w:rPr>
        <w:t>E. 5</w:t>
      </w:r>
    </w:p>
    <w:p>
      <w:r>
        <w:t>W.________ invoque une violation des art. 42 à 44 CP.</w:t>
      </w:r>
    </w:p>
    <w:p>
      <w:r>
        <w:rPr>
          <w:b/>
        </w:rPr>
        <w:t>E. 5.1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Selon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Les circonstances particulièrement favorables sont celles qui empêchent que l’infraction antérieure ne détériore le pronostic. La loi vise par exemple les cas de récidive dans lesquels l’infraction qu’il s’agit de juger repose sur des motifs totalement différents et n’a donc aucun rapport avec l’infraction antérieure (Dupuis et al., Petit commentaire du Code pénal, Bâle 2012, n. 20 ad art. 42 CP et l’arrêt cité).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Le sursis partiel n’est ainsi pas envisageable en cas de récidive au sens de l’art. 42 al. 2 CP (Dupuis et al., op. cit., n. 7a ad art. 43 CP ; TF 6B_492/2008 du 19 mai 2009, non publié aux ATF 135 IV 152, consid. 3.1). Si le juge suspend totalement ou partiellement l’exécution de la peine, il impartit au condamné un délai d’épreuve de deux à cinq ans (art. 44 al. 1 CP). L’ampleur du délai d’épreuve dépend de l’intensité du risque de récidive (Dupuis et al., op. cit., n. 2 ad art. 44 CP).</w:t>
      </w:r>
    </w:p>
    <w:p>
      <w:r>
        <w:rPr>
          <w:b/>
        </w:rPr>
        <w:t>E. 5.2</w:t>
      </w:r>
    </w:p>
    <w:p>
      <w:r>
        <w:t>L’appelant a lourdement récidivé moins de deux ans après sa condamnation à une peine privative de liberté de vingt-quatre mois avec sursis le 4 mars 2009, en commettant un délit dans le même genre d’infractions que celles réprimées à cette occasion, puis a perpétré de nouveaux actes en 2015, constitutifs de tentative d’escroquerie et de faux dans les titres. Il n’y a aucune circonstance particulièrement favorable, de sorte que l’octroi du sursis ou du sursis partiel est exclu. La récente amélioration de la situation de l’appelant et ses projets concrets d’avenir, bien qu’encourageants, ne sont pas de nature à contrebalancer le pronostic défavorable qui doit être posé. Partant, le moyen de l’appelant doit être rejeté. L’exécution de la peine privative de liberté permet de ne pas révoquer le sursis assortissant la peine précédente.</w:t>
      </w:r>
    </w:p>
    <w:p>
      <w:r>
        <w:rPr>
          <w:b/>
        </w:rPr>
        <w:t>E. 6</w:t>
      </w:r>
    </w:p>
    <w:p>
      <w:r>
        <w:t>En définitive, l’appel doit être partiellement admis et le jugement entrepris réformé dans le sens des considérants. Sur la base de la liste d’opérations produite, une indemnité pour la procédure d’appel d’un montant de 2'643 fr. 35, TVA et débours inclus, sera allouée au défenseur d’office de l’appelant. Vu l’issue de la cause, les frais de la procédure d’appel, constitués en l’espèce de l’émolument du jugement, par 1'390 fr. (art. 21 al. 1 TFIP [Tarif des frais de procédure et indemnités en matière pénale du 28 septembre 2010 ; RSV 312.03.1]), et de l’indemnité allouée au défenseur d’office de l’appelant, par 2'643 fr. 35, TVA et débours inclus, doivent être mis pour deux tiers, soit par 2'762 fr. 25 à la charge de ce dernier. W.________ ne sera en outre tenu de rembourser à l’Etat le montant mis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