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190 vom 27. Januar 2016</w:t>
      </w:r>
    </w:p>
    <w:p>
      <w:r>
        <w:t>VD Tribunal cantonal, 2016-01-27, FR</w:t>
      </w:r>
    </w:p>
    <w:p>
      <w:r>
        <w:rPr>
          <w:b/>
        </w:rPr>
        <w:t xml:space="preserve">Quelle: </w:t>
      </w:r>
      <w:r>
        <w:t>https://mcp.opencaselaw.ch/entscheid/vd_findinfo_Jug___2016___190</w:t>
      </w:r>
    </w:p>
    <w:p>
      <w:r>
        <w:t>FR: VD_FINDINFO Jug / 2016 / 190 du 27 janvier 2016</w:t>
      </w:r>
    </w:p>
    <w:p>
      <w:r>
        <w:t>IT: VD_FINDINFO Jug / 2016 / 190 del 27 gennaio 2016</w:t>
      </w:r>
    </w:p>
    <w:p>
      <w:pPr>
        <w:pStyle w:val="Heading2"/>
      </w:pPr>
      <w:r>
        <w:t>Regeste</w:t>
      </w:r>
    </w:p>
    <w:p>
      <w:r>
        <w:t>LOI FÉDÉRALE SUR LA CIRCULATION ROUTIÈRE, FIXATION DE LA PEINE | 47 CP, 49 al. 1 CP, 90 al. 3 LCR</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Le Ministère public conteste la quotité de la peine fixée par les premiers juges, qu’il considère comme trop clémente. Il fait en substance valoir que le tribunal n’a pas suffisamment tenu compte des éléments à charge et a donné trop d’importance aux éléments à décharge.</w:t>
      </w:r>
    </w:p>
    <w:p>
      <w:r>
        <w:rPr>
          <w:b/>
        </w:rPr>
        <w:t>E. 3.1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Si le juge suspend totalement ou partiellement l’exécution de la peine, il impartit au condamné un délai d’épreuve de deux à cinq ans (art. 44 al. 1 CP). L’ampleur du délai d’épreuve dépend de l’intensité du risque de récidive (Dupuis et al., Petit commentaire du Code pénal, Bâle 2012, n. 2 ad art. 44 CP).</w:t>
      </w:r>
    </w:p>
    <w:p>
      <w:r>
        <w:rPr>
          <w:b/>
        </w:rPr>
        <w:t>E. 3.2</w:t>
      </w:r>
    </w:p>
    <w:p>
      <w:r>
        <w:t>H.________ s’est notamment rendu coupable de violation grave qualifiée des règles de la circulation routière, infraction passible d’une peine privative de liberté d’un à quatre ans.</w:t>
      </w:r>
    </w:p>
    <w:p>
      <w:r>
        <w:rPr>
          <w:b/>
        </w:rPr>
        <w:t>E. 3.2.1</w:t>
      </w:r>
    </w:p>
    <w:p>
      <w:r>
        <w:t>Le Ministère public soutient tout d’abord que les premiers juges n’auraient pas estimé à sa juste valeur la mise en danger que le prévenu a fait courir aux policiers et aux piétons qui auraient pu croiser sa route, en raison notamment d’une fête de jeunesse qui se déroulait à proximité d’[...]. Il considère ainsi que le tribunal n’aurait pas précisé que le prévenu roulait, alors qu’il était sous l’influence conjointe de plusieurs drogues et que la visibilité était réduite, à des vitesses très élevées en traversant six localités, qu’il circulait alors qu’il n’était titulaire que d’un permis d’élève conducteur et que, lors de la course-poursuite, il a heurté plusieurs fois des véhicules de police mettant ainsi en danger l’intégrité corporelle des policiers. En l’espèce, le grief est vain dès lors que chacun des points exposés par le Ministère public a été présenté et analysé dans le jugement, notamment comme éléments constitutifs de l’art. 90 al. 3 LCR (Loi fédérale sur la circulation routière du 19 décembre 1958 ; RS 741.01), de sorte qu’on ne saurait retenir que les points en question n’ont pas été pris en compte (jgt, pp. 14 et 15). Le tribunal a ainsi retenu que le prévenu circulait en état d’incapacité puisqu’il était sous l’emprise du cannabis, des amphétamines et de la cocaïne dans des normes dépassant largement le niveau toléré pour chaque drogue. Il a mentionné que la course-poursuite avec la police, s’apparentant à un rodéo routier, avait eu lieu de nuit et que la visibilité était insuffisante, que six villages avaient été traversés, que les règles de priorité n’avaient pas été respectées et que les occasions de créer un accident grave étaient nombreuses, notamment à l’égard de piétons pouvant se trouver sur la chaussée. Enfin, les premiers juges ont relevé que H.________ n’avait qu’un permis d’élève conducteur et qu’il a heurté les véhicules des policiers après avoir perdu la maîtrise de son véhicule.</w:t>
      </w:r>
    </w:p>
    <w:p>
      <w:r>
        <w:rPr>
          <w:b/>
        </w:rPr>
        <w:t>E. 3.2.2</w:t>
      </w:r>
    </w:p>
    <w:p>
      <w:r>
        <w:t>L’appelant revient dans un deuxième temps sur le mobile et la détermination du prévenu lors des faits et considère que la volonté délictuelle et l’absence de scrupules de ce dernier n’ont pas été suffisamment prises en compte. Or, au chapitre de la culpabilité (jgt, p. 16), les premiers juges ont retenu comme éléments à charge du prévenu, outre ses antécédents administratifs, le motif futile et égoïste de ce dernier, à savoir qu’il voulait échapper à la police pour échapper à la sanction de délits mineurs. Son manque particulier de scrupules a également été relevé, car il ne s’est pas arrêté lorsque l’un des passagers l’en a sommé, faisant de surcroît courir un risque important à ces derniers. Le tribunal a en outre mentionné que le prévenu était déterminé dans ses actes dès lors qu’il a tenté d’échapper à la police jusqu’au bout, en heurtant à plusieurs reprises les véhicules de cette dernière, laquelle a été forcée à procéder à des manœuvres dangereuses, et en prenant en dernier lieu la fuite à pieds. Par ailleurs, c’est à juste titre que le tribunal a également tenu compte de l’effet aggravant du concours d’infractions. Au regard de ce qui précède, il y a lieu de considérer que le tribunal a apprécié de manière adéquate les éléments à la charge du prévenu, appréciation que la Cour d’appel fait sienne, de sorte que le grief de l’appelant doit être rejeté.</w:t>
      </w:r>
    </w:p>
    <w:p>
      <w:r>
        <w:rPr>
          <w:b/>
        </w:rPr>
        <w:t>E. 3.2.3</w:t>
      </w:r>
    </w:p>
    <w:p>
      <w:r>
        <w:t>L’appelant conteste la bonne collaboration du prévenu en raison notamment du fait que, par honte et par peur d’un alourdissement de la sanction, il n’a pas avoué tout de suite, mais lors d’une audition ultérieure, qu’avant de prendre le volant il avait consommé non seulement du cannabis, mais aussi de la cocaïne et des amphétamines. Sous réserve de ce point d’importance secondaire, le comportement de H.________ en procédure a été loyal. Même si sa marge de manœuvre était restreinte compte tenu des rapports de police au dossier, il n’a pas cherché à tromper les autorités sur les faits principaux constitutifs de fautes de circulation et sa version sur ce qui s’est passé dans la voiture n’a pas été contredite par les autres occupants de celle-ci. Enfin s’agissant des éléments à décharge, il y a également lieu de tenir compte, à l’instar des premiers juges, du jeune âge de l’intéressé lors des faits, des lettres d’excuses qu’il a envoyées, de sa bonne situation socio-professionnelle et financière et du fait qu’il a entièrement remboursé le dommage causé aux véhicules de police. Par ailleurs, il ressort des déclarations tenues par le prévenu aux débats de première instance et d’appel qu’il a pris conscience de la gravité de ses actes.</w:t>
      </w:r>
    </w:p>
    <w:p>
      <w:r>
        <w:rPr>
          <w:b/>
        </w:rPr>
        <w:t>E. 3.3</w:t>
      </w:r>
    </w:p>
    <w:p>
      <w:r>
        <w:t>Compte tenu des éléments qui précèdent, les sanctions prononcées par les premiers juges, à savoir une peine privative de liberté de 20 mois et une peine pécuniaire de 30 jours-amende, sont adéquates et doivent être confirmées. Il en va de même de la quotité du jour-amende, fixée à 40 francs. Enfin, l’octroi du sursis sur l’entier de ces peines par les premiers juges ne prête pas le flanc à la critique. S’il est vrai que les fautes sont lourdes, elles sont concentrées en ce sens qu’elles procèdent d’une décision unique, certes mal inspirée, de fuir la police. En outre, comme on l’a vu, la situation personnelle de H.________ est saine et sa prise de conscience est indéniable, de sorte que le pronostic le concernant n’est pas défavorable. La crainte de devoir exécuter une peine de prison importante suffira à prévenir de nouveaux passages à l’acte. Le prévenu s’est par ailleurs bien comporté depuis plus de deux ans et il n’a pas d’antécédents pénaux. Il ne se justifie dès lors pas d’allonger au maximum la durée du délai d’épreuve. Le délai d’épreuve de 4 ans ordonné par les premiers juges sera par conséquent également confirmé. Enfin, la comparaison que fait l’appelant avec une autre affaire n’est pas déterminante. En effet, dans le jugement de la Cour de céans cité (CAPE 5 mai 2014/70), le prévenu avait été condamné à une peine privative de liberté de 18 mois, avec un sursis partiel portant sur dix mois de cette peine assorti d’un délai d’épreuve de 5 ans, pour un excès de vitesse important, mais il avait, contrairement à H.________, de nombreux antécédents pénaux, dont des infractions à la législation sur la circulation routière, et il totalisait neuf mesures administratives prononcées à son encontre.</w:t>
      </w:r>
    </w:p>
    <w:p>
      <w:r>
        <w:rPr>
          <w:b/>
        </w:rPr>
        <w:t>E. 4</w:t>
      </w:r>
    </w:p>
    <w:p>
      <w:r>
        <w:t>En définitive, l’appel doit être rejeté et le jugement attaqué intégralement confirmé. Vu l’issue de la cause, l’émolument du jugement, par 1’500 fr. (art. 21 al. 1 et 2 TFIP [Tarif des frais de procédure et indemnités en matière pénale du 28 septembre 2010 ; RSV 312.03.1]), sera laissé à la charge de l’Etat (art. 423 al. 1 CPP). Sur la base de la liste d’opérations produite, une indemnité pour la procédure d’appel d’un montant de 1’209 fr. 60, TVA et décours inclus, sera allouée au défenseur d’office de H.________, laquelle sera, au vu du sort de l’appel,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