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182 vom 29. Oktober 2015</w:t>
      </w:r>
    </w:p>
    <w:p>
      <w:r>
        <w:t>VD Tribunal cantonal, 2015-10-29, FR</w:t>
      </w:r>
    </w:p>
    <w:p>
      <w:r>
        <w:rPr>
          <w:b/>
        </w:rPr>
        <w:t xml:space="preserve">Quelle: </w:t>
      </w:r>
      <w:r>
        <w:t>https://mcp.opencaselaw.ch/entscheid/vd_findinfo_Jug___2016___182</w:t>
      </w:r>
    </w:p>
    <w:p>
      <w:r>
        <w:t>FR: VD_FINDINFO Jug / 2016 / 182 du 29 octobre 2015</w:t>
      </w:r>
    </w:p>
    <w:p>
      <w:r>
        <w:t>IT: VD_FINDINFO Jug / 2016 / 182 del 29 ottobre 2015</w:t>
      </w:r>
    </w:p>
    <w:p>
      <w:pPr>
        <w:pStyle w:val="Heading2"/>
      </w:pPr>
      <w:r>
        <w:t>Regeste</w:t>
      </w:r>
    </w:p>
    <w:p>
      <w:r>
        <w:t>ACTE D'ORDRE SEXUEL AVEC UN ENFANT, APPRÉCIATION DES PREUVES, TORT MORAL | 187 ch. 1 CP, 47 CP, 97 al. 2 CP, 97 al. 4 CP, 10 CPP (CH)</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1.1</w:t>
      </w:r>
    </w:p>
    <w:p>
      <w:r>
        <w:t>Interjetés dans les formes et délais légaux (art. 399 CPP) par des parties ayant la qualité pour recourir contre le jugement d’un tribunal de première instance ayant clos la procédure (art. 398 al. 1 CPP), les appels du Ministère public et de P.________ sont recevables.</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 e éd. Bâle 2014, n. 1 ad art. 398 CPP). L'immédiateté des preuves ne s'impose toutefois pas en instance d'appel. Selon l'art. 389 al.</w:t>
      </w:r>
    </w:p>
    <w:p>
      <w:r>
        <w:rPr>
          <w:b/>
        </w:rPr>
        <w:t>E. 2</w:t>
      </w:r>
    </w:p>
    <w:p>
      <w:r>
        <w:t>Le Ministère public conteste l’acquittement dont a bénéficié H.________ pour les faits décrits sous chiffre 1 de l’acte d’accusation du 12 février 2015. Il fait valoir en substance que les éléments probatoires résultant du dossier ne laissent pas place au doute et que la culpabilité de l’intimé repose sur les déclarations de la plaignante, corroborées par différents témoignages, l’extrait de son journal intime et les constats de ses thérapeutes.</w:t>
      </w:r>
    </w:p>
    <w:p>
      <w:r>
        <w:rPr>
          <w:b/>
        </w:rPr>
        <w:t>E. 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2.2</w:t>
      </w:r>
    </w:p>
    <w:p>
      <w:r>
        <w:t>En l’occurrence, H.________ a toujours contesté les faits. Pour libérer le prévenu des accusations d’infractions à l’intégrité sexuelle de la plaignante, les premiers juges ont d’abord relevé que l'instruction avait mis en évidence des imprécisions et des contradictions s'agissant des faits de la cause et leur déroulement, en ce qui concerne les dates et la nature des actes, mais qu'il ne fallait pas y attacher une grande importance, dans la mesure où les faits se seraient déroulés il y a plus de 17 ans (cf. jgt, p. 17). Par contre, ils ont tenu pour insuffisants les éléments probatoires soutenant la version de la plaignante, en considérant qu'il s'agissait de discours indirects de celle-ci, pour la plupart vagues et donc sans valeur probante suffisante (cf. jgt, p. 18). Les dépositions des témoins demeuraient pour le surplus imprécises et aucun changement dans le comportement de la plaignante en raison des actes délictueux n'aurait pu être observé. Ces éléments ajoutés à la rétractation de P.________ concernant le cas 2 de l'acte d'accusation ont conduit les premiers juges à admettre un doute suffisant pour acquitter H.________.</w:t>
      </w:r>
    </w:p>
    <w:p>
      <w:r>
        <w:rPr>
          <w:b/>
        </w:rPr>
        <w:t>E. 2.3</w:t>
      </w:r>
    </w:p>
    <w:p>
      <w:r>
        <w:t>L’appréciation du tribunal de première instance doit être examinée sur ces différents points de l’analyse.</w:t>
      </w:r>
    </w:p>
    <w:p>
      <w:r>
        <w:rPr>
          <w:b/>
        </w:rPr>
        <w:t>E. 2.3.1</w:t>
      </w:r>
    </w:p>
    <w:p>
      <w:r>
        <w:t>Les confidences reçues de deux témoins alors que la victime était en en 8 e année scolaire ne sont pas anodines et les témoignages de ces camarades de classe ne sauraient être considérés comme vagues et sans valeur probante, même si, en raison de l'écoulement du temps et du jeune âge des intéressées, leurs dépositions ne se recoupent pas entièrement. Même si seul le récit de l'une d'elles correspond à la version de la plaignante, il n'est pas douteux que cette dernière s'est confiée aux deux, de sorte le caractère vague de l'une des dépositions n'empêche pas le constat, qui n'est pas dépourvu de valeur probante, que la victime s'était déjà confiée à des amies, alors qu'elle était enfant et bien avant l'ouverture de l'enquête pénale. De la même manière, les déclarations de l'ami intime, même si elles ne sont pas décisives pour le jugement de la cause, ne peuvent pas être considérées comme vagues et imprécises. Ce témoin a en effet expliqué, dans son unique audition, que la plaignante n'était pas très à l'aise avec le sexe au départ de leur relation et qu'elle lui avait expliqué n'avoir jamais eu de relations sexuelles avec son précédent copain (cf. PV aud. 10, ad R. 5). En outre, il a décrit la plaignante comme une personne très sensible ayant de la peine à s'exprimer ses sentiments, mais qui s'était beaucoup améliorée depuis qu'elle s'était confiée au sujet des faits incriminés et qu'elle était suivie psychologiquement (ibid.) Affirmer, comme l'ont fait les premiers juges, que G.________ n'avait pas fait état de difficultés dans ses relations intimes avec la victime est donc faux, comme le constat qu'aucun témoin ne serait venu confirmer l'affirmation de la plaignante selon laquelle elle avait rencontré des problèmes avec les hommes. Les premiers juges ont ainsi mal apprécié les déclarations des témoins qui soutiennent le récit de la victime, sur le plan factuel ou s'agissant des répercussions d'actes traumatisants. Il faut au contraire tenir pour établi que la victime s'est confiée à des camarades de classe durant son enfance, expliquant avoir été victime d'attouchements de la part d'un ami de ses parents. Ces confidences sont à mettre en relation avec deux extraits datés d'octobre 2003 et de mars 2007 du journal intime de la victime qui font référence à des événements traumatisants du passé (cf. P. 37/2 et 37/3). Il y a donc bien des éléments certes indirects, mais précis, qui confirment le récit de la victime. De la même manière, dans une lettre non datée et versée au dossier sous pièce 24/2, F.________ écrit à la plaignante : « Sa (sic) t'aidera sûrement à « régler » cette horrible histoire et t'aidera, par la suite, à le dénoncer... ».</w:t>
      </w:r>
    </w:p>
    <w:p>
      <w:r>
        <w:rPr>
          <w:b/>
        </w:rPr>
        <w:t>E. 2.3.2</w:t>
      </w:r>
    </w:p>
    <w:p>
      <w:r>
        <w:t>Les premiers juges ont estimé également qu'aucun changement de comportement n'avait été observé chez la victime, en particulier vis-à-vis du prévenu, personne n'ayant remarqué de réticence de sa part à retourner chez ce dernier. D'abord, s'agissant d'éventuels abus infligés à un enfant, la réticence qu'une telle victime est en mesure de manifester envers un adulte n'est pas un indice significatif. Du reste, P.________ a fourni des explications convaincantes à cet égard : elle a cherché à se détacher des événements pour se protéger. Ainsi, dans le cadre d'une enfance difficile en raison d'un climat familial lui apportant peu de soutien et alors même que le prévenu était un proche de ses parents (cf. jgt, p. 8), la plaignante a préféré se comporter normalement vis-à-vis de son abuseur. Ensuite, les premiers juges omettent de constater que le journal intime de la victime montre toutefois ses réels sentiments et constitue un indice d'une telle réticence. De même, le frère de la victime a déclaré que sa sœur ne voulait plus aller dormir chez H.________ le week-end (cf. PV aud. 6, ad R. 5 en p. 3). Ainsi donc, l'appréciation du tribunal de première instance n’est pas adéquate sur ce point également.</w:t>
      </w:r>
    </w:p>
    <w:p>
      <w:r>
        <w:rPr>
          <w:b/>
        </w:rPr>
        <w:t>E. 2.3.3</w:t>
      </w:r>
    </w:p>
    <w:p>
      <w:r>
        <w:t>Enfin, les premiers juges ont également douté de la réalité des faits en raison des rétractations de la plaignante en lien avec les faits décrits sous chiffre 2 de l'acte d'accusation (cf. jgt, p. 18). Le terme « rétractation » n'est pas exact. Lors de sa déposition devant le tribunal correctionnel, la plaignante n'a pas retiré ses accusations, mais a expliqué avoir de la peine à dire si ces faits s'étaient réellement produits et ne pas pouvoir être catégorique à ce sujet en raison de l'appréhension qu'elle avait eue après les faits précédents. Compte tenu de l'âge de l'enfant au moment des premiers faits supposés, en particulier dans la compréhension d'actes sexuels et compte tenu de l'écoulement du temps, ses précautions dans la véracité du récit ne la discréditent aucunement. Au contraire, il s'agit plutôt, comme l'observe le Ministère public, de la manifestation de propos mesurés et crédibles, d'une personne qui n'hésite pas à faire état de ses incertitudes et qui est donc d'autant plus crédible lorsqu'elle affirme avoir déjà subi des actes d'ordre sexuel infligés par le prévenu auparavant.</w:t>
      </w:r>
    </w:p>
    <w:p>
      <w:r>
        <w:rPr>
          <w:b/>
        </w:rPr>
        <w:t>E. 2.3.4</w:t>
      </w:r>
    </w:p>
    <w:p>
      <w:r>
        <w:t>Tout bien considéré, on constate en définitive que tous les éléments d'appréciation qui ont conduit les premiers juges à douter sont soit discutables soit erronés. Il faut au contraire retenir que le récit de la victime, mesuré et nuancé, est corroboré par de nombreux éléments qui le rendent crédible : non seulement, il se recoupe dans le temps, de manière durable, à la fois avec les confidences et les faits relatés par les proches, mais il est également soutenu par les constats des thérapeutes, aussi bien ceux du Dr [...], gynécologue, qui relève que les plaintes d'ordre sexuel formulées par sa patiente peuvent parfaitement être mises en relation avec d'éventuels abus durant l'enfance (P.43), que ceux du chiropracticien (P.44) ou de la kynésiologue (P.45) qui ont été mis au courant des abus. Les actes décrits par la victime sont contextualisés. P.________ s'est souvenue que le prévenu avait bu de l'alcool, qu'elle avait dormi dans la chambre de celui-ci, qu'elle avait ressenti la douleur de la pénétration digitale et qu'elle avait fait semblant de dormir (cf. PV aud. 1, p. 2) et même de l'odeur de transpiration provenant des draps (cf. PV aud. 11, I. 217). Le croquis de la chambre à coucher où se seraient déroulés les abus, fait par la victime (cf. annexe au PV aud. 11), correspond au demeurant en plusieurs points à celui fait par le prévenu (cf. annexe au PV aud. 12). Le récit de la plaignante présente donc des indices élevés de crédibilité. A l'inverse les dénégations de l'auteur ne sont pas convaincantes. Il n'a aucune explication à apporter sur les faits dénoncés par la plaignante. Au vu de son casier judiciaire, il a manifestement, de longue date, un problème d'alcool, qu'il minimise (cf. PV aud. 12, lI. 117 à 124 ; cf. aussi PV aud. 4, ad R. 6). Il ne conteste d'ailleurs pas que la plaignante ait pu dormir à une occasion chez lui à [...] (cf. PV aud. 4, ad R. 34 et 35). Il ne conteste pas non plus voir affirmé un jour, sur le ton de la plaisanterie, qu'il trouvait P.________ jolie et « qu'il la marierait bien une fois qu'elle serait grande » (cf. PV aud. 4, ad R. 10). L'appréciation de l'ensemble de ces éléments probatoires doit conduire à retenir que les faits décrits sous ch. 1 de l'acte d'accusation du 12 février 2015 sont établis à satisfaction de droit.</w:t>
      </w:r>
    </w:p>
    <w:p>
      <w:r>
        <w:rPr>
          <w:b/>
        </w:rPr>
        <w:t>E. 3</w:t>
      </w:r>
    </w:p>
    <w:p>
      <w:r>
        <w:t>Il convient d’examiner la qualification juridique des faits de la cause. Le Ministère public requiert que l'intimé soit condamné pour actes d'ordre sexuel et contrainte sexuelle.</w:t>
      </w:r>
    </w:p>
    <w:p>
      <w:r>
        <w:rPr>
          <w:b/>
        </w:rPr>
        <w:t>E. 3.1</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consid. 1.1 ; Corboz, Les infractions en droit suisse, vol. I, 3 e éd., 2010, n. 4 ad art. 187 CP; Donatsch, Strafrecht III, 9 e éd., 2008, p. 458; Jenny, Kommentar zum schweizerischen Strafgesetzbuch, BT, vol. 4, 1997, n. 6 ad art. 187 CP). Cette définition de l’infraction d’actes d’ordre sexuel avec des enfants brièvement rappelée, il ne fait pas de doute que les faits litigieux tombent sous le coup de cette disposition en raison de la pénétration digitale et du contact physique entre la main de l’enfant et le sexe de l’auteur.</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consid. 2.4; TF 6P.197/2006 du 23 mars 2007 consid. 8.1 et les réf. citées; TF 6P.46/2000 du 10 avril 2001 consid. 8c/aa).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(ATF 131 IV 107 consid.  2.2). Compte tenu du caractère de délit de violence que revêt la contrainte sexuelle, la pression psychique générée par l'auteur doit atteindre une intensité particulière (ATF 131 IV 107 consid.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(voir ATF 131 IV 107 consid. 2.2 et les arrêts cités). En l’espèce, le prévenu n’a pas fait usage de violence physique envers P.________. Rien ne permet non plus de retenir qu’il aurait exercé une pression psychique à son encontre. Il n’y a rien dans le récit de plaignante qui permette de l’envisager. L’enfant dormait avant l’arrivée du prévenu dans la chambre, elle a été réveillée par les attouchements et elle a fait semblant de dormir. Les actes ont ensuite cessé.</w:t>
      </w:r>
    </w:p>
    <w:p>
      <w:r>
        <w:rPr>
          <w:b/>
        </w:rPr>
        <w:t>E. 3.3</w:t>
      </w:r>
    </w:p>
    <w:p>
      <w:r>
        <w:t>Seule l’infraction de l’art. 187 ch. 1 CP doit en définitive être retenue à la charge de H.________. Malgré l’écoulement du temps, cette infraction n’est pas prescrite en vertu de l’art. 97 al. 2 et 4 CP.</w:t>
      </w:r>
    </w:p>
    <w:p>
      <w:r>
        <w:rPr>
          <w:b/>
        </w:rPr>
        <w:t>E. 4</w:t>
      </w:r>
    </w:p>
    <w:p>
      <w:r>
        <w:t>Il reste à examiner la peine à infliger au prévenu.</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4.2</w:t>
      </w:r>
    </w:p>
    <w:p>
      <w:r>
        <w:t>En l’espèce, H.________ s’est rendu coupable d’actes d’ordre sexuel avec des enfants envers P.________. L’atteinte à l’intégrité sexuelle commise est objectivement grave, s’agissant d’une enfant de moins de dix ans, déflorée par les doigts d’un ami aviné de ses parents. A décharge, il faut prendre en considération l’écoulement du temps depuis les faits litigieux. Cela étant, au vu de l’ensemble des circonstances de la cause et de la situation personnelle de l'intimé, le prononcé d’une peine privative de liberté de douze mois, avec sursis pendant deux ans, est adéquat à réprimer le comportement de H.________.</w:t>
      </w:r>
    </w:p>
    <w:p>
      <w:r>
        <w:rPr>
          <w:b/>
        </w:rPr>
        <w:t>E. 5</w:t>
      </w:r>
    </w:p>
    <w:p>
      <w:r>
        <w:t>Il convient enfin de statuer sur l’appel de P.________ dont, compte tenu des points d’ores et déjà tranchés à la suite de l’appel du Ministère public, seule demeure ouverte la question des conclusions civiles. Compte tenu des séquelles physiques et psychiques qu’elle estime avoir subies, la plaignante réclame un montant de 10'000 fr. à titre de réparation morale.</w:t>
      </w:r>
    </w:p>
    <w:p>
      <w:r>
        <w:rPr>
          <w:b/>
        </w:rPr>
        <w:t>E. 5.1</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(cf. ATF 132 II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ATF 129 IV 22 consid. 7.2).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ATF 130 III 699 consid. 5.1; 125 III 269 consid. 2a).</w:t>
      </w:r>
    </w:p>
    <w:p>
      <w:r>
        <w:rPr>
          <w:b/>
        </w:rPr>
        <w:t>E. 5.2</w:t>
      </w:r>
    </w:p>
    <w:p>
      <w:r>
        <w:t>En l’occurrence, l'atteinte subie a engendré une souffrance psychologique considérable et a perturbé le développement sexuel de la victime. Au vu de l’ensemble des circonstances et en équité, il se justifie d’allouer à P.________ la somme de 8'000 fr. à titre de réparation morale, valeur échue, dès lors que l’on ne connaît pas exactement la date à laquelle a été commis l’acte illicite.</w:t>
      </w:r>
    </w:p>
    <w:p>
      <w:r>
        <w:rPr>
          <w:b/>
        </w:rPr>
        <w:t>E. 6</w:t>
      </w:r>
    </w:p>
    <w:p>
      <w:r>
        <w:t>En définitive, l’appel du Ministère public et l’appel de P.________ doivent être admis partiellement et le jugement réformé dans le sens des considérants. Vu sa condamnation, l’intimé supportera la moitié des frais de première instance, par 18'156 fr. 50, le solde étant laissé à la charge de l’Etat. Sur la base de la liste des opérations produites par Me Laurent Maire, défenseur d’office de  H.________ (P. 111) et dont il n’y a pas lieu de s’écarter, une indemnité pour la procédure d’appel d’un montant de 1'901 fr. 90, TVA et débours compris, lui sera allouée. Elle sera mise pour les trois quarts à la charge de H.________, qui a conclu au rejet des deux appels et qui succombe partiellement, le solde étant laissé à la charge de l’Etat. L’indemnité allouée à Me Myriam Bitschy, conseil d’office de P.________, sera quelque peu réduite par rapport au temps de 18h55 annoncé hors audience (P. 112). La liste de ses opérations fait en effet état de nombreuses petites tâches, telles des lettres de transmission, qui n’avaient pas à être comptabilisées au titre de travail de l’avocat. Cela étant, le temps de travail annoncé apparaît légèrement excessif au vu de la connaissance du dossier acquise en première instance et des opérations nécessaires à la procédure d’appel. L’indemnité sera ainsi arrêtée à 3'294 fr., débours et TVA inclus, ce qui correspond à une activité d’avocat de 16 heures au tarif horaire de 180 fr., soit 2'880 fr., à une vacation, par 120 fr., aux débours, par 50 fr., et à la TVA, par 244 francs. Cette indemnité sera mise pour les trois quarts à la charge de H.________, qui a conclu au rejet de l’appel de P.________ et qui succombe partiellement, le solde étant laissé à la charge de l’Etat. H.________ ne sera tenu de rembourser à l’Etat la part mise à leur charge du montant des indemnités en faveur de son défenseur d’office et du conseil d’office de P.________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