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180 vom 4. Mai 2015</w:t>
      </w:r>
    </w:p>
    <w:p>
      <w:r>
        <w:t>VD Tribunal cantonal, 2015-05-04, FR</w:t>
      </w:r>
    </w:p>
    <w:p>
      <w:r>
        <w:rPr>
          <w:b/>
        </w:rPr>
        <w:t xml:space="preserve">Quelle: </w:t>
      </w:r>
      <w:r>
        <w:t>https://mcp.opencaselaw.ch/entscheid/vd_findinfo_Jug___2016___180</w:t>
      </w:r>
    </w:p>
    <w:p>
      <w:r>
        <w:t>FR: VD_FINDINFO Jug / 2016 / 180 du 4 mai 2015</w:t>
      </w:r>
    </w:p>
    <w:p>
      <w:r>
        <w:t>IT: VD_FINDINFO Jug / 2016 / 180 del 4 maggio 2015</w:t>
      </w:r>
    </w:p>
    <w:p>
      <w:pPr>
        <w:pStyle w:val="Heading2"/>
      </w:pPr>
      <w:r>
        <w:t>Regeste</w:t>
      </w:r>
    </w:p>
    <w:p>
      <w:r>
        <w:t>CIRCULATION ROUTIÈRE{DROIT DE LA CIRCULATION ROUTIÈRE} | 90 LCR, 18 OCR, 19 OCR</w:t>
      </w:r>
    </w:p>
    <w:p>
      <w:pPr>
        <w:pStyle w:val="Heading2"/>
      </w:pPr>
      <w:r>
        <w:t>Erwägungen</w:t>
      </w:r>
    </w:p>
    <w:p>
      <w:r>
        <w:rPr>
          <w:b/>
        </w:rPr>
        <w:t>E. 1.1</w:t>
      </w:r>
    </w:p>
    <w:p>
      <w:r>
        <w:t>Interjeté dans les forme et délais légaux (art. 399 CPP) par une partie ayant qualité pour recourir contre le jugement du tribunal de première instance qui a clos la procédure (art. 398 al. 1 CPP), l’appel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aux règles de la circulation routière a fait l’objet de la procédure de première instance, de sorte que l’appel est retreint.</w:t>
      </w:r>
    </w:p>
    <w:p>
      <w:r>
        <w:rPr>
          <w:b/>
        </w:rPr>
        <w:t>E. 2.1</w:t>
      </w:r>
    </w:p>
    <w:p>
      <w:r>
        <w:t>L’appelant ne conteste pas les faits retenus. Il fait valoir que d’autres automobilistes stationneraient au même endroit que lui en toute impunité, et y voit un abus de pouvoir des forces de l’ordre.</w:t>
      </w:r>
    </w:p>
    <w:p>
      <w:r>
        <w:rPr>
          <w:b/>
        </w:rPr>
        <w:t>E. 2.2</w:t>
      </w:r>
    </w:p>
    <w:p>
      <w:r>
        <w:t>Dans ses écritures, l’appelant perd de vue que le principe de la légalité des poursuites, tel que consacré à l’art. 7 CPP, applicable par le renvoi de l’art. 10 LContr (loi sur les contraventions du 19 mai 2009; RSV 312.11), a pour conséquence qu’il n’y a pas d’égalité dans l’illégalité et qu’il ne peut donc pas invoquer l’absence éventuelle de poursuite pénale à l’encontre d’autres automobilistes ayant adopté le même comportement fautif que lui. Son grief est donc mal fondé et la mesure d’instruction requise, soit l’audition du Conseiller municipal [...], est dénuée de pertinence. Elle sera donc rejetée pour les motifs exposés ci-dessus.</w:t>
      </w:r>
    </w:p>
    <w:p>
      <w:r>
        <w:rPr>
          <w:b/>
        </w:rPr>
        <w:t>E. 3</w:t>
      </w:r>
    </w:p>
    <w:p>
      <w:r>
        <w:t>En ne contestant pas les faits, S.________ ne conteste pas l’illicéité de son comportement. Partant, le principe d’une sanction est pleinement justifié. Vérifié d’office, le montant de l’amende, soit 360 fr., infligée au recourant, est adéquat et correspond à la situation financière de l’appelant ainsi qu’à la faute commise.</w:t>
      </w:r>
    </w:p>
    <w:p>
      <w:r>
        <w:rPr>
          <w:b/>
        </w:rPr>
        <w:t>E. 4</w:t>
      </w:r>
    </w:p>
    <w:p>
      <w:r>
        <w:t>En définitive, l'appel de S.________ doit être rejeté et le jugement attaqué entièrement confirmé. Vu l'issue de la cause, les frais d'appel, par 450 fr. (art. 21 al. 1 et 2 TFIP [Tarif des frais de procédure et indemnités en matière pénale] du 28 septembre 2010; RSV 312.03.1]), doivent être mis à la charge de S.________, qui succombe (art. 428 al. 1 CPP). Par ces motifs, l Président de la Cour d’appel pénale, statuant en application de l'art. 398 al. 4 CPP, prononce : I. L’appel est rejeté. II. Le jugement rendu le 4 mai 2015 par le Tribunal de police de l’arrondissement de l'Est vaudois est confirmé selon le dispositif suivant : « I. déclare S.________ coupable de violation des règles de la circulation routière en application des art. 90 LCR et 18 al. 2 lit. d et 19 al. 2 lit. a OCR ; II.              condamne S.________ à une amende de 360 fr. et dit que la peine privative de liberté de substitution est de 4 jours ; III.              met les frais, par 940 fr., à la charge d’S.________ ». III. Les frais d’appel, par 450 fr., sont mis à la charge d’S.________. IV. Le jugement motivé est exécutoire. Le président :               La greffière : Du Le jugement qui précède, dont la rédaction a été approuvée à huis clos, est notifié, par l'envoi d'une copie complète, à : - M. S.________, - Ministère public central, et communiqué à : ‑ M. le Procureur du Ministère public central, division affaires spéciales, contrôle et mineurs, - M. le Président du Tribunal de police de l’arrondissement de l’Est vaudois, - Commission de police du Chablais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