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158 vom 2. März 2016</w:t>
      </w:r>
    </w:p>
    <w:p>
      <w:r>
        <w:t>VD Tribunal cantonal, 2016-03-02, FR</w:t>
      </w:r>
    </w:p>
    <w:p>
      <w:r>
        <w:rPr>
          <w:b/>
        </w:rPr>
        <w:t xml:space="preserve">Quelle: </w:t>
      </w:r>
      <w:r>
        <w:t>https://mcp.opencaselaw.ch/entscheid/vd_findinfo_Jug___2016___158</w:t>
      </w:r>
    </w:p>
    <w:p>
      <w:r>
        <w:t>FR: VD_FINDINFO Jug / 2016 / 158 du 2 mars 2016</w:t>
      </w:r>
    </w:p>
    <w:p>
      <w:r>
        <w:t>IT: VD_FINDINFO Jug / 2016 / 158 del 2 marzo 2016</w:t>
      </w:r>
    </w:p>
    <w:p>
      <w:pPr>
        <w:pStyle w:val="Heading2"/>
      </w:pPr>
      <w:r>
        <w:t>Regeste</w:t>
      </w:r>
    </w:p>
    <w:p>
      <w:r>
        <w:t>PERMIS DE CONDUIRE, RETRAIT DE PERMIS, ÉLÈVE CONDUCTEUR | 15 al. 1 LCR, 95 al. 3 let. b LCR</w:t>
      </w:r>
    </w:p>
    <w:p>
      <w:pPr>
        <w:pStyle w:val="Heading2"/>
      </w:pPr>
      <w:r>
        <w:t>Erwägungen</w:t>
      </w:r>
    </w:p>
    <w:p>
      <w:r>
        <w:rPr>
          <w:b/>
        </w:rPr>
        <w:t>E. 1</w:t>
      </w:r>
    </w:p>
    <w:p>
      <w:r>
        <w:t>CPP), l'appel de D.________ est recevable.</w:t>
      </w:r>
    </w:p>
    <w:p>
      <w:r>
        <w:rPr>
          <w:b/>
        </w:rPr>
        <w:t>E. 1.1</w:t>
      </w:r>
    </w:p>
    <w:p>
      <w:r>
        <w:t>Interjeté dans les formes et délais légaux (art. 399 CPP) contre le jugement du tribunal de première instance ayant clos la procédure (art. 398 al.</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 une contravention à la législation sur la circulation routière a fait l’objet de la procédure de première instance, de sorte que l'appel est restreint. Le pouvoir d'examen de l'autorité d'appel est ainsi limité dans l'appréciation des faits à ce qui a été établi de manière arbitraire, la formulation de l'art. 398 al.</w:t>
      </w:r>
    </w:p>
    <w:p>
      <w:r>
        <w:rPr>
          <w:b/>
        </w:rPr>
        <w:t>E. 4</w:t>
      </w:r>
    </w:p>
    <w:p>
      <w:r>
        <w:t>Il résulte de ce qui précède que l’appel de D.________ doit être rejeté et le jugement attaqué intégralement confirmé. Vu l’issue de la cause, les frais de la procédure d’appel, constitués du seul émolument d’arrêt, par 540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