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156 vom 27. Oktober 2015</w:t>
      </w:r>
    </w:p>
    <w:p>
      <w:r>
        <w:t>VD Tribunal cantonal, 2015-10-27, FR</w:t>
      </w:r>
    </w:p>
    <w:p>
      <w:r>
        <w:rPr>
          <w:b/>
        </w:rPr>
        <w:t xml:space="preserve">Quelle: </w:t>
      </w:r>
      <w:r>
        <w:t>https://mcp.opencaselaw.ch/entscheid/vd_findinfo_Jug___2016___156</w:t>
      </w:r>
    </w:p>
    <w:p>
      <w:r>
        <w:t>FR: VD_FINDINFO Jug / 2016 / 156 du 27 octobre 2015</w:t>
      </w:r>
    </w:p>
    <w:p>
      <w:r>
        <w:t>IT: VD_FINDINFO Jug / 2016 / 156 del 27 ottobre 2015</w:t>
      </w:r>
    </w:p>
    <w:p>
      <w:pPr>
        <w:pStyle w:val="Heading2"/>
      </w:pPr>
      <w:r>
        <w:t>Regeste</w:t>
      </w:r>
    </w:p>
    <w:p>
      <w:r>
        <w:t>FIXATION DE LA PEINE, SURSIS À L'EXÉCUTION DE LA PEINE | 42 CP, 43 CP, 44 CP, 47 CP</w:t>
      </w:r>
    </w:p>
    <w:p>
      <w:pPr>
        <w:pStyle w:val="Heading2"/>
      </w:pPr>
      <w:r>
        <w:t>Erwägungen</w:t>
      </w:r>
    </w:p>
    <w:p>
      <w:r>
        <w:rPr>
          <w:b/>
        </w:rPr>
        <w:t>E. 1</w:t>
      </w:r>
    </w:p>
    <w:p>
      <w:r>
        <w:t>Interjetés dans les forme et délais légaux contre le jugement d’un tribunal de première instance ayant clos la procédure (cf. art. 398 al. 1 CPP), l'appel de L.________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w:t>
      </w:r>
    </w:p>
    <w:p>
      <w:r>
        <w:rPr>
          <w:b/>
        </w:rPr>
        <w:t>E. 3.2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De jurisprudence constante, les conditions subjectives auxquelles l'art. 42 CP soumet l'octroi du sursis intégral s'appliquent également à l'octroi du sursis partiel prévu à l’art. 43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désormais la règle dont on ne peut s'écarter qu'en présence d'un pronostic défavorable. Il prime en cas d'incertitude.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29 septembre 2014/275 consid. 4 et les références citées).</w:t>
      </w:r>
    </w:p>
    <w:p>
      <w:r>
        <w:rPr>
          <w:b/>
        </w:rPr>
        <w:t>E. 3.3</w:t>
      </w:r>
    </w:p>
    <w:p>
      <w:r>
        <w:t>En l'espèce, la question de la détention illicite n'est plus discutée. L'appelant ne remet pas non plus en cause la quotité ou le genre de peine, fixées conformément à l'art. 47 CP. Il n'y a pas lieu d'y revenir. L.________ reproche au premier juge d'avoir violé les art. 42 CP et 50 CP en refusant, par un jugement insuffisamment motivé, de lui accorder un sursis total. Il se prévaut de son absence d'antécédent judiciaire, de ses excuses et de sa bonne collaboration avec la justice, ainsi que du temps écoulé depuis ses dernières infractions, commises en 2014. L.________ a admis avoir perpétré quatre vols. Son parcours est chaotique. Ce prévenu nomade a commis ses méfaits sur le territoire de trois cantons et cherche à brouiller les pistes en mentant sur son identité. L'existence de plusieurs alias est constante et même admise. Plusieurs éléments montrent qu'il ne s'agit pas d'un cambrioleur débutant. Il sévit en période de vacances. Il vise des logements où se trouvent des objets de valeur et y trouve effectivement un important butin (49'000 fr. chez [...] dans le canton de Berne et 25'000 fr. à Genève). Il escalade la façade avant de pénétrer par un velux laissé ouvert, ce qui suppose des actes de repérage. Il dispose d'outils (un pied de biche) et n'hésite pas à enfoncer un coffre-fort pour parvenir à ses fins. Certes, L.________ n'a pas d'antécédents judiciaires, mais il est connu de la police genevoise pour une infraction à la loi sur les étrangers, et des autorités belges pour une accusation de vol. Le prévenu ne peut se prévaloir de sa bonne collaboration avec la justice, puisqu'il résulte du dossier qu'il n'a admis ses vols que lorsqu'il était confronté aux résultats des prélèvements ADN (cf. à ce sujet, PV aud. 1 du 20 août 2015). Loin de mettre en cause le pronostic défavorable, le côté sporadique de l'activité délictueuse de l'appelant, par ailleurs sans activité stable, tend à confirmer une absence d'insertion et un passage à l'acte en tout temps lorsque l'occasion se présente. Les motifs contenus en page 7 du jugement attaqué vont dans le même sens. Cette motivation est suffisante pour permettre de discerner quels sont les éléments essentiels qui ont été pris en compte et s'ils l'ont été dans un sens aggravant ou atténuant (TF 6B 265/2010 du 13 août 2010, consid. 2.3). Au vu de ce qui précède, le diagnostic est plus défavorable que mitigé. La Cour de céans ne peut toutefois que confirmer la décision du premier juge, aucune reformatio in peius n'étant possible en l'absence d'appel du Ministère public (art. 391 CPP; CAPE 13 janvier 2016/20).</w:t>
      </w:r>
    </w:p>
    <w:p>
      <w:r>
        <w:rPr>
          <w:b/>
        </w:rPr>
        <w:t>E. 4.1</w:t>
      </w:r>
    </w:p>
    <w:p>
      <w:r>
        <w:t>A titre subsidiaire, le prévenu conclut à un raccourcissement du délai d'épreuve fixé à 5 ans par le premier juge.</w:t>
      </w:r>
    </w:p>
    <w:p>
      <w:r>
        <w:rPr>
          <w:b/>
        </w:rPr>
        <w:t>E. 4.2</w:t>
      </w:r>
    </w:p>
    <w:p>
      <w:r>
        <w:t>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(A. Kuhn, Commentaire romand, Bâle 2009, n. 7 ad art. 44 CP, p 447). Le juge doit tenir compte des circonstances du cas d’espèce, en particulier de la personnalité et du caractère du condamné ainsi que du risque de récidive; plus ce risque est sérieux et plus le délai d’épreuve sera long (Favre/Pellet/Stoudmann, Code pénal annoté, 3e éd. 2007, n. 2 ad art. 44 CP; CAPE 21 avril 2015/158).</w:t>
      </w:r>
    </w:p>
    <w:p>
      <w:r>
        <w:rPr>
          <w:b/>
        </w:rPr>
        <w:t>E. 4.3</w:t>
      </w:r>
    </w:p>
    <w:p>
      <w:r>
        <w:t>En l'espèce, le risque de récidive est important au vu de la personnalité de l'intéressé, comme au vu de l'instabilité de sa situation. L.________ apparaît comme un voleur expérimenté vivant de ses délits et peu enclin à s'expliquer. Il n'admet ses méfaits que lorsqu'il ne peut plus faire autrement, ce qui montre une absence de prise de conscience. Comme retenu en première instance d'une manière qui échappe à la critique, seul un délai d'épreuve maximal est susceptible de le détourner de la commission de nouvelles infractions.</w:t>
      </w:r>
    </w:p>
    <w:p>
      <w:r>
        <w:rPr>
          <w:b/>
        </w:rPr>
        <w:t>E. 5.1</w:t>
      </w:r>
    </w:p>
    <w:p>
      <w:r>
        <w:t>En définitive, l'appel L.________ doit être rejeté. Vu l'issue de la cause déférée en appel, l'émolument d’appel (art. 21 al. 1 et 2 TFIP [Tarif des frais de procédure et indemnités en matière pénale du 28 septembre 2010; RSV 312.03.1]) sera mis à la charge de l’appelant, qui succombe (art. 428 al. 1 CPP).</w:t>
      </w:r>
    </w:p>
    <w:p>
      <w:r>
        <w:rPr>
          <w:b/>
        </w:rPr>
        <w:t>E. 5.2</w:t>
      </w:r>
    </w:p>
    <w:p>
      <w:r>
        <w:t>Les frais d’appel, par 2'588 fr. 80, comprennent l’indemnité en faveur du défenseur d’office du prévenu (art. 422 al. 1 et al. 2 let. a CPP). Compte tenu de l'ampleur de la procédure et de la connaissance du dossier acquise en première instance, il convient d'allouer à Me Vincent Demierre une indemnité d'office de 1'198 fr. 80, ce montant tient compte de 5h30 au tarif de l'avocat d'office breveté (180 fr. à l'heure) d'une vacation d'avocat breveté (120 fr.) et de 8 % de TVA (88 fr. 80).</w:t>
      </w:r>
    </w:p>
    <w:p>
      <w:r>
        <w:rPr>
          <w:b/>
        </w:rPr>
        <w:t>E. 5.3</w:t>
      </w:r>
    </w:p>
    <w:p>
      <w:r>
        <w:t>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