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155 vom 13. November 2015</w:t>
      </w:r>
    </w:p>
    <w:p>
      <w:r>
        <w:t>VD Tribunal cantonal, 2015-11-13, FR</w:t>
      </w:r>
    </w:p>
    <w:p>
      <w:r>
        <w:rPr>
          <w:b/>
        </w:rPr>
        <w:t xml:space="preserve">Quelle: </w:t>
      </w:r>
      <w:r>
        <w:t>https://mcp.opencaselaw.ch/entscheid/vd_findinfo_Jug___2016___155</w:t>
      </w:r>
    </w:p>
    <w:p>
      <w:r>
        <w:t>FR: VD_FINDINFO Jug / 2016 / 155 du 13 novembre 2015</w:t>
      </w:r>
    </w:p>
    <w:p>
      <w:r>
        <w:t>IT: VD_FINDINFO Jug / 2016 / 155 del 13 novembre 2015</w:t>
      </w:r>
    </w:p>
    <w:p>
      <w:pPr>
        <w:pStyle w:val="Heading2"/>
      </w:pPr>
      <w:r>
        <w:t>Regeste</w:t>
      </w:r>
    </w:p>
    <w:p>
      <w:r>
        <w:t>VIOLENCE CONTRE LES AUTORITÉS, CONSTATATION DES FAITS, APPRÉCIATION DES PREUVES | 285 ch. 1 CP, 10 CPP (CH), 398 al. 3 let. b CPP (CH)</w:t>
      </w:r>
    </w:p>
    <w:p>
      <w:pPr>
        <w:pStyle w:val="Heading2"/>
      </w:pPr>
      <w:r>
        <w:t>Erwägungen</w:t>
      </w:r>
    </w:p>
    <w:p>
      <w:r>
        <w:rPr>
          <w:b/>
        </w:rPr>
        <w:t>E. 1</w:t>
      </w:r>
    </w:p>
    <w:p>
      <w:r>
        <w:t>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rPr>
          <w:b/>
        </w:rPr>
        <w:t>E. 1.1</w:t>
      </w:r>
    </w:p>
    <w:p>
      <w:r>
        <w:t>Interjeté dans les formes et délai légaux (art. 399 CPP) par une partie ayant la qualité pour recourir contre le jugement d’un tribunal de première instance ayant clos la procédure (art. 398 al. 1 CPP), l’appel de X.________ est recevable.</w:t>
      </w:r>
    </w:p>
    <w:p>
      <w:r>
        <w:rPr>
          <w:b/>
        </w:rPr>
        <w:t>E. 1.2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w:t>
      </w:r>
    </w:p>
    <w:p>
      <w:r>
        <w:rPr>
          <w:b/>
        </w:rPr>
        <w:t>E. 2</w:t>
      </w:r>
    </w:p>
    <w:p>
      <w:r>
        <w:t>A titre de mesure d'instruction, X.________ a requis l'audition de [...]. En invoquant une violation du droit d’être entendu et une inégalité de traitement, l'appelant fait valoir que les plaignants ont eu à plusieurs reprises l’occasion de donner leur version des faits. Il souhaite que ces derniers soient confrontés à son témoin pour démontrer que ce qu’ils soutiennent ne correspond pas à la réalité. [...], qui a assisté à l’intervention policière, a toutefois déjà été entendu en cours d'enquête. Les déclarations dont se prévaut l’appelant figurent en outre au dossier. Il s’agit par conséquent d’une question d’appréciation des preuves et, dans cette mesure, une nouvelle audition en appel n’apporterait rien de plus. Le droit à la confrontation invoqué par l'appelant n'est au demeurant pas opérant ici, puisque c’est la confrontation entre le témoin et les plaignants qui est demandée et qu’une telle mesure n'est pas nécessaire à l'appréciation de la crédibilité des diverses déclarations. En définitive, cette réquisition de preuves, renouvelée aux débats d’appel, doit être rejetée.</w:t>
      </w:r>
    </w:p>
    <w:p>
      <w:r>
        <w:rPr>
          <w:b/>
        </w:rPr>
        <w:t>E. 3.1</w:t>
      </w:r>
    </w:p>
    <w:p>
      <w:r>
        <w:t>Se prévalant d’une constatation incomplète et erronée des faits, l’appelant conteste s’être rendu coupable d'injure et de violence ou menace contre les autorités et les fonctionnaires. Il soutient que c’est à tort et en violation du principe in dubio pro reo que la version des policiers a été retenue. Celle-ci présenterait des contradictions et ne concorderait pas avec les déclarations de [...], qui n'aurait pas constaté certains des comportements délictueux qui lui ont été imputés.</w:t>
      </w:r>
    </w:p>
    <w:p>
      <w:r>
        <w:rPr>
          <w:b/>
        </w:rPr>
        <w:t>E. 3.2</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 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TF 6B_831/2009 précité, consid. 2.2.2).</w:t>
      </w:r>
    </w:p>
    <w:p>
      <w:r>
        <w:rPr>
          <w:b/>
        </w:rPr>
        <w:t>E. 3.3</w:t>
      </w:r>
    </w:p>
    <w:p>
      <w:r>
        <w:t>Pour fonder sa conviction que le prévenu s'était bien rendu coupable d'injure et de violence ou menace contre les autorités et les fonctionnaires, le premier juge s'est d'abord fondé sur les déclarations de l'appelant lui-même, qui a admis aux débats qu'il était énervé, qu'il avait tapé sur sa voiture et qu'après que les gendarmes lui ont demandé de se calmer, il s'était mis à taper sur le grillage et le mur bordant la route (cf. jugement attaqué p. 5). Le premier juge a retenu que ce comportement apparaissait objectivement agressif et oppositionnel, car il était de nature à entraver le travail de la police, le prévenu étant agité et hors de lui. Cette appréciation est adéquate. Le prévenu a encore reconnu qu'après avoir été menotté, il avait tenté de mordre V.________, alors qu'il était maintenu couché sur la banquette arrière du véhicule de police (jugement attaqué p. 4). Dans ces circonstances, on peine à comprendre comment l'appelant, qui admet ainsi avoir été violent à l'encontre d'un des policiers, plaide sa libération du chef d'accusation de l'infraction réprimée par l'art. 285 CP. En outre, le témoignage de [...], qui est un ami de X.________ et qui est intervenu sur les lieux de l'accident à sa demande pour évacuer son véhicule (PV d’audition 3), confirme que le prévenu s'est mis à gesticuler, à taper sur sa voiture et que la police lui a demandé de se calmer avant de le menotter. Le témoin a également indiqué que le prévenu avait résisté à son interpellation avant que la police décide de le mettre au sol ( « L’un des policiers a demandé à X.________ de se calmer et de venir dans la voiture de police. X.________ a monté les tours […] La police a aussi monté les tours et la police a menotté X.________. Ce dernier a un peu résisté et la police a décidé de le mettre au sol, ils ont dû s’y prendre à quatre. […] le conducteur est venu aider la police à maîtriser X.________» PV d'audition n. 3 l. 35 à 39). Sur la base de ce témoignage, il est exclu de considérer que le comportement de X.________ était dû à la panique et au choc de l’accident comme il l’a soutenu d’une part et que l'intervention policière à son endroit a été disproportionnée d’autre part. Les photographies au dossier ne démontrent pas le contraire puisque les ecchymoses que présente le prévenu sur celles-ci peuvent trouver leur origine autant dans l’accident de circulation qu’il a causé que dans le comportement agressif et oppositionnel dont il a fait preuve ensuite. Quant aux injures dont l’appelant conteste s’être rendu coupable, on relèvera qu’il a lui-même reconnu avoir perdu « le sens de la politesse » (PV d'audition n. 2 l. 57). Compte tenu des éléments qui précèdent, à l’instar du premier juge, il convient de retenir que les versions des parties et du témoin convergent sur le fait que le prévenu s'est montré violent et injurieux envers les policiers, qu'il n'a pas obtempéré aux injonctions des gendarmes, qu'il a résisté et a dû être mis au sol pour être menotté, qu'il a ensuite continué à se débattre et a commis des dégâts sur le véhicule de police, en donnant des coups de pied, de sorte que les faits figurant dans l'acte d'accusation sont établis à satisfaction de droit. Le grief fondé sur une constatation incomplète et erronée des faits doit par conséquent être rejeté.</w:t>
      </w:r>
    </w:p>
    <w:p>
      <w:r>
        <w:rPr>
          <w:b/>
        </w:rPr>
        <w:t>E. 3.4</w:t>
      </w:r>
    </w:p>
    <w:p>
      <w:r>
        <w:t>En définitive, c’est à juste titre que l’appelant a été condamné pour injure et violence ou menace contre les autorités et les fonctionnaires au sens des art. 177 al. 1 et 285 ch. 1 CP, les conditions constitutives de ces infractions étant réunies tant objectivement que subjectivement.</w:t>
      </w:r>
    </w:p>
    <w:p>
      <w:r>
        <w:rPr>
          <w:b/>
        </w:rPr>
        <w:t>E. 4.1</w:t>
      </w:r>
    </w:p>
    <w:p>
      <w:r>
        <w:t>L'appelant ne conteste la peine prononcée à son encontre qu'en lien avec les moyens tendant à obtenir son acquittement.</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129 IV 6 consid. 6.1 p. 20)</w:t>
      </w:r>
    </w:p>
    <w:p>
      <w:r>
        <w:rPr>
          <w:b/>
        </w:rPr>
        <w:t>E. 4.3</w:t>
      </w:r>
    </w:p>
    <w:p>
      <w:r>
        <w:t>En l’espèce, la culpabilité de X.________ est lourde. La Cour de céans fait sienne la motivation complète et pertinente du premier juge à laquelle il peut être renvoyé (jugement attaqué pp. 22-23). Contrairement à ce qu’a soutenu l’appelant, l’intervention policière n’était nullement disproportionnée à son encontre et ne saurait en aucun cas influer sur la quotité de la peine. On relèvera notamment qu’il a récidivé six mois seulement après avoir récupéré son permis de conduire et qu’il n’a pas montré le moindre signe d’introspection concernant ses actes répréhensibles. La peine pécuniaire ferme ainsi que l’amende prononcées sont adéquates et doivent être confirmées.</w:t>
      </w:r>
    </w:p>
    <w:p>
      <w:r>
        <w:rPr>
          <w:b/>
        </w:rPr>
        <w:t>E. 5</w:t>
      </w:r>
    </w:p>
    <w:p>
      <w:r>
        <w:t>L’appelant conteste enfin le montant des frais de procédure mis à sa charge. Dans la mesure où ce grief repose sur la prémisse de l’admission de son appel, il doit être rejeté.</w:t>
      </w:r>
    </w:p>
    <w:p>
      <w:r>
        <w:rPr>
          <w:b/>
        </w:rPr>
        <w:t>E. 6</w:t>
      </w:r>
    </w:p>
    <w:p>
      <w:r>
        <w:t>En définitive, l'appel de X.________ doit être rejeté et le jugement de première instance intégralement confirmé.</w:t>
      </w:r>
    </w:p>
    <w:p>
      <w:r>
        <w:rPr>
          <w:b/>
        </w:rPr>
        <w:t>E. 7</w:t>
      </w:r>
    </w:p>
    <w:p>
      <w:r>
        <w:t>Vu l'issue de la cause, les frais de la procédure d'appel, par 1’500 fr., constitués en l’espèce de l'émolument d’arrêt (art. 21 al. 1 et 2 TFIP [Tarif des frais de procédure et indemnités en matière pénale du 28 septembre 2010 ; RSV 312.03.1]), seront mis à la charge de X.________, qui succombe (art. 428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