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146 vom 24. November 2015</w:t>
      </w:r>
    </w:p>
    <w:p>
      <w:r>
        <w:t>VD Tribunal cantonal, 2015-11-24, FR</w:t>
      </w:r>
    </w:p>
    <w:p>
      <w:r>
        <w:rPr>
          <w:b/>
        </w:rPr>
        <w:t xml:space="preserve">Quelle: </w:t>
      </w:r>
      <w:r>
        <w:t>https://mcp.opencaselaw.ch/entscheid/vd_findinfo_Jug___2016___146</w:t>
      </w:r>
    </w:p>
    <w:p>
      <w:r>
        <w:t>FR: VD_FINDINFO Jug / 2016 / 146 du 24 novembre 2015</w:t>
      </w:r>
    </w:p>
    <w:p>
      <w:r>
        <w:t>IT: VD_FINDINFO Jug / 2016 / 146 del 24 novembre 2015</w:t>
      </w:r>
    </w:p>
    <w:p>
      <w:pPr>
        <w:pStyle w:val="Heading2"/>
      </w:pPr>
      <w:r>
        <w:t>Regeste</w:t>
      </w:r>
    </w:p>
    <w:p>
      <w:r>
        <w:t>DOMMAGES À LA PROPRIÉTÉ{DROIT PÉNAL}, INFRACTION QUALIFIÉE, FIXATION DE LA PEINE, PRINCIPE DE LA CÉLÉRITÉ | 144 al. 1 CP, 144 al. 3 CP, 47 CP</w:t>
      </w:r>
    </w:p>
    <w:p>
      <w:pPr>
        <w:pStyle w:val="Heading2"/>
      </w:pPr>
      <w:r>
        <w:t>Erwägungen</w:t>
      </w:r>
    </w:p>
    <w:p>
      <w:r>
        <w:rPr>
          <w:b/>
        </w:rPr>
        <w:t>E. 1</w:t>
      </w:r>
    </w:p>
    <w:p>
      <w:r>
        <w:t>Interjeté dans les forme et délais légaux (art. 399 CPP) par une partie ayant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qui ne conteste ni les faits, ni leur qualification juridique, s’en prend uniquement à la quotité de la peine prononcée ainsi qu’au genre de celle-ci, invoquant une violation des art. 47, 48a et 144 al. 3 CP. Il y a lieu de rappeler que X.________ a été reconnu coupable de dommages à la propriété (art. 144 al. 1 CP) et de dommages à la propriété qualifiés (art. 144 al. 3 CP) pour 22 cas de graffitis.</w:t>
      </w:r>
    </w:p>
    <w:p>
      <w:r>
        <w:rPr>
          <w:b/>
        </w:rPr>
        <w:t>E. 4.1</w:t>
      </w:r>
    </w:p>
    <w:p>
      <w:r>
        <w:t>L’appelant fait tout d’abord valoir une violation de l’art. 144 al. 3 CP, au motif que les premiers juges auraient retenu qu’à la teneur de l’art. 144 al. 3 CP, ils étaient tenus par une « peine plancher » d’une année de privation de liberté.</w:t>
      </w:r>
    </w:p>
    <w:p>
      <w:r>
        <w:rPr>
          <w:b/>
        </w:rPr>
        <w:t>E. 4.2</w:t>
      </w:r>
    </w:p>
    <w:p>
      <w:r>
        <w:t>L’art. 144 CP prévoit que celui qui aura endommagé, détruit ou mis hors d'usage une chose appartenant à autrui ou frappée d'un droit d'usage ou d'usufruit au bénéfice d'autrui sera, sur plainte, puni d'une peine privative de liberté de trois ans au plus ou d'une peine pécuniaire (al. 1) ; si l'auteur a causé un dommage considérable, le juge pourra prononcer une peine privative de liberté de un à cinq ans ; la poursuite aura lieu d'office (al. 3).</w:t>
      </w:r>
    </w:p>
    <w:p>
      <w:r>
        <w:rPr>
          <w:b/>
        </w:rPr>
        <w:t>E. 4.3</w:t>
      </w:r>
    </w:p>
    <w:p>
      <w:r>
        <w:t>A la lecture de cette disposition, on doit admettre avec l’appelant que le texte de la loi n’impose pas de peine minimale, même lorsque les conditions de l’infraction qualifiée sont réunies. En effet, la formulation de l’art. 144 al. 3 CP permet au juge d’élargir le cadre de la peine vers le haut, mais ne lui impose pas de s’en tenir à un seuil minimum (Corboz, Les infractions en droit suisse, Berne 2010, vol. I, ch. 34 ad art. 144 CP, p. 282 ; Dupuis/Geller/Monnier/Moreillon/Piguet/Bettex/Stoll [éd.], Petit commentaire du Code pénal, Bâle 2012, n. 22 ad art. 144 CP). Toutefois, l’erreur des premiers juges quant à l’existence d’une peine plancher ne porte pas à conséquence. En effet, il ne ressort pas du jugement que le tribunal se serait senti contraint par cette peine minimale légale. Les juges ont seulement indiqué ce qui suit : « La peine plancher d’une année de privation de liberté est atteinte. Au vu des éléments qui précèdent, le tribunal estime qu’elle suffira à réprimer les nombreux actes de l’accusé » (jugement du 24 novembre 2015, p. 75). A la lecture de ces arguments, on constate que les juges n’ont pas manifesté la volonté de prononcer une peine inférieure qu’ils auraient ensuite été contraints  de ramener à ce qu’ils considéraient comme « la peine plancher ». Au contraire, ils ont considéré qu’une peine d’une année était nécessaire mais suffisante pour réprimer la faute de l’accusé. La question subséquente visant à déterminer si la peine prononcée est adéquate sera examinée sous l’angle de la violation des art. 47 et 48a CP invoquée par l’appelant.</w:t>
      </w:r>
    </w:p>
    <w:p>
      <w:r>
        <w:rPr>
          <w:b/>
        </w:rPr>
        <w:t>E. 5.1</w:t>
      </w:r>
    </w:p>
    <w:p>
      <w:r>
        <w:t>L’appelant conteste la quotité et le genre de la peine, invoquant une violation des art. 47 et 48a CP, pour les motifs que l’autorité de première instance aurait insuffisamment pris en compte les éléments à décharge et aurait omis de tenir compte de la violation du principe de célérité.</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5.3</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Depuis une dizaine d'années, la violation du principe de la célérité est ainsi devenue, de fait, une circonstance atténuante de la peine à part entière (ATF 130 IV 54). La violation du principe de célérité peut avoir pour conséquences la diminution de la sanction, l’extinction de la poursuite pénale en raison de la prescription de l’action pénale, l’exemption de toute peine du délinquant reconnu coupable ou une ordonnance de classement, en tant qu’ultima ratio dans les cas les plus extrêmes (ATF 135 IV 12 consid. 3.6 p. 26 ; ATF 130 IV 54 consid. 3.3.1 p. 54 s. et les références ; Moreillon/Parein-Reymond, Code de procédure pénale, Petit commentaire, Bâle 2013, n. 13 ad art. 5 CPP).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 et les références). Le principe de la célérité peut être violé, même si les autorités pénales n'ont commis aucune faute; elles ne sauraient ainsi exciper des insuffisances de l'organisation judiciaire.</w:t>
      </w:r>
    </w:p>
    <w:p>
      <w:r>
        <w:rPr>
          <w:b/>
        </w:rPr>
        <w:t>E. 5.4</w:t>
      </w:r>
    </w:p>
    <w:p>
      <w:r>
        <w:t>En l’espèce, comme l’a à juste titre relevé le tribunal de première instance, la culpabilité de l’appelant est lourde. Il a porté atteinte aux biens d’autrui, et notamment au bien commun comme les transports publics, à de très nombreuses reprises, pour des motifs aussi futiles que l’assouvissement de ses pulsions « artistiques ». Ses déclarations en cours d’enquête ne sauraient être ignorées au stade de la fixation de la peine, l’intéressé ayant notamment déclaré qu’il ne cesserait ses activités que si on lui coupait les deux mains. L’ampleur et le montant des dégâts sont consternants. Au surplus, l’appelant a poursuivi son activité illicite alors qu’il venait d’être condamné pour des faits analogues à une peine privative de liberté prononcée par le Tribunal des mineurs. A la décharge du condamné, il y a lieu de retenir, à l’instar du jugement de première instance, que l’appelant semble avoir partiellement pris conscience de la gravité de ses agissements. En particulier, il a adopté un bon comportement depuis son interpellation en 2009 et il a entrepris de réparer les dommages causés aux lésés en s’acquittant régulièrement d’une partie des montants dus, certains des lésés ayant d’ores et déjà été intégralement dédommagés. On retiendra également la bonne collaboration de X.________ en cours d’enquête, ainsi que son jeune âge au moment des faits, lié à une situation familiale et socioprofessionnelle alors difficile.</w:t>
      </w:r>
    </w:p>
    <w:p>
      <w:r>
        <w:rPr>
          <w:b/>
        </w:rPr>
        <w:t>E. 5.5</w:t>
      </w:r>
    </w:p>
    <w:p>
      <w:r>
        <w:t>Enfin, il y a manifestement eu une violation du principe de célérité dans le cadre de la procédure ayant abouti au jugement du 25 novembre 2015. En effet, le prévenu a été interpellé en juin 2009 ; l’enquête policière a pris fin en juillet 2010 ; mais l’acte d’accusation n’a finalement été rendu qu’en octobre 2014, soit plus de quatre ans après, sans qu’aucun élément au dossier ne permette de justifier une telle latence. Il y a donc lieu d’examiner les conséquences qui découlent de la violation de ce principe. En l’espèce, la durée de la procédure a induit la prescription de presque la moitié des cas qui auraient pu être retenus à la charge du prévenu (20 cas prescrits sur 42). En conséquence, il y a lieu de retenir que l’extinction des poursuites pour la moitié des cas en raison de la prescription de l’action pénale constitue déjà une forme de réparation de la violation du principe de célérité (cf. consid. 5.2 ci-dessus). Au surplus, contrairement à ce que soutient l’appelant, la violation du principe de célérité n’a pas été occultée par le tribunal de première instance, lequel a expressément retenu comme élément à décharge « l’écoulement du temps » (cf. jugement du 24 novembre 2015, p. 75). Certes, la formulation utilisée par le tribunal de première instance est maladroite, dès lors que l’on pourrait croire que cet élément fait référence à l’art. 48 let. e CP. Toutefois, à la lecture des dispositions légales reprises dans le dispositif, on constate que le tribunal n’a pas fait application de cette disposition et que l’écoulement du temps pris en compte doit bien être mis en relation avec le principe de célérité.</w:t>
      </w:r>
    </w:p>
    <w:p>
      <w:r>
        <w:rPr>
          <w:b/>
        </w:rPr>
        <w:t>E. 5.6</w:t>
      </w:r>
    </w:p>
    <w:p>
      <w:r>
        <w:t>En définitive, une peine d’une année apparaît adéquate et doit être confirmée. S’agissant du genre de la peine, la peine pécuniaire requise par l’appelant constitue certes la sanction principale dans le domaine du droit des sanctions. Toutefois, l’appelant a d’ores et déjà été condamné en 2006 à une peine privative de liberté par le Tribunal des mineurs, sans que cette condamnation n’ait exercé aucun effet dissuasif sur ce condamné qui a lourdement récidivé dès sa sortie du tribunal. Pour des motifs de prévention spéciale, le prononcé d’une peine pécuniaire doit donc être exclue en l’espèce au profit d’une peine privative de liberté (TF 6B_196/2012 du 24 janvier 2013 consid. 3.3 ; TF 6B_128/2011 du 14 juin 2011 consid. 3.4).</w:t>
      </w:r>
    </w:p>
    <w:p>
      <w:r>
        <w:rPr>
          <w:b/>
        </w:rPr>
        <w:t>E. 5.7</w:t>
      </w:r>
    </w:p>
    <w:p>
      <w:r>
        <w:t>Enfin, le tribunal de première instance a mis X.________ au bénéfice du sursis, fixant le délai d’épreuve à trois ans. Compte tenu de l’écoulement du temps depuis les derniers faits et du bon comportement de l’appelant depuis lors, en particulier le fait qu’il a retrouvé un emploi et qu’il s’acquitte régulièrement de ses dettes auprès des lésés, la Cour de céans considère que le délai d’épreuve doit être fixé au minimum légal, soit deux ans.</w:t>
      </w:r>
    </w:p>
    <w:p>
      <w:r>
        <w:rPr>
          <w:b/>
        </w:rPr>
        <w:t>E. 6</w:t>
      </w:r>
    </w:p>
    <w:p>
      <w:r>
        <w:t>En définitive, l'appel de X.________ doit très partiellement être admis et le jugement attaqué réformé dans le sens des considérants qui précèdent. Sur la base de la liste des opérations produite, une indemnité de défenseur d'office d'un montant de 1'861 fr. 30, TVA et débours inclus, sera allouée à Me Coralie Germond pour la procédure d'appel. Vu l'issue de la cause, les frais de la procédure d'appel, par 3'361 fr. 30, constitués en l’espèce de l'émolument d’arrêt, par 1’500 fr. (art. 21 al. 1 et 2 TFIP [Tarif des frais de procédure et indemnités en matière pénale du 28 septembre 2010, RSV 312.03.1]) et de l’indemnité allouée au défenseur d’office de l’appelant, seront mis à la charge de X.________ à concurrence de trois-quarts, le solde étant laissé à la charge de l’Etat. X.________ ne sera tenu de rembourser à l’Etat les trois quarts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