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143 vom 17. Dezember 2015</w:t>
      </w:r>
    </w:p>
    <w:p>
      <w:r>
        <w:t>VD Tribunal cantonal, 2015-12-17, FR</w:t>
      </w:r>
    </w:p>
    <w:p>
      <w:r>
        <w:rPr>
          <w:b/>
        </w:rPr>
        <w:t xml:space="preserve">Quelle: </w:t>
      </w:r>
      <w:r>
        <w:t>https://mcp.opencaselaw.ch/entscheid/vd_findinfo_Jug___2016___143</w:t>
      </w:r>
    </w:p>
    <w:p>
      <w:r>
        <w:t>FR: VD_FINDINFO Jug / 2016 / 143 du 17 décembre 2015</w:t>
      </w:r>
    </w:p>
    <w:p>
      <w:r>
        <w:t>IT: VD_FINDINFO Jug / 2016 / 143 del 17 dicembre 2015</w:t>
      </w:r>
    </w:p>
    <w:p>
      <w:pPr>
        <w:pStyle w:val="Heading2"/>
      </w:pPr>
      <w:r>
        <w:t>Regeste</w:t>
      </w:r>
    </w:p>
    <w:p>
      <w:r>
        <w:t>SÉJOUR ILLÉGAL, DISPOSITIONS PÉNALES DE LA LSTUP, CAS GRAVE, FIXATION DE LA PEINE | 47 CP, 19 ch. 2 LStup, 115 al. 1 let. b LEtr</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M.________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conteste exclusivement la fixation de la peine par les premiers juges, qu’il considère comme excessive, car fondée sur des faits erronés concernant son rôle dans le trafic de stupéfiants, alors que certains éléments à décharge n’auraient pas été pris en compte en violation de l’art. 47 CP. Il en va ainsi, en particulier, de sa situation personnelle difficile et de l’effet de la peine sur son avenir.</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Selon l’art. 47 al. 1 in fine CP, le juge doit aussi avoir égard à l’effet de la peine sur l’avenir du condamné ; il s’agit d’éviter les sanctions susceptibles de compromettre l’évolution favorable de ce dernier ; cet aspect de prévention spéciale ne saurait toutefois conduire à prononcer une peine qui ne correspondrait plus à la culpabilité du condamné (ATF 134 IV 17 ; TF 6B_706/2008 du 3 décembre 2008 consid. 2.2 ; TF 6B_237/2007 du 5 octobre 2007 consid. 2.2 ; TF 6B_14/2007 du 17 avril 2007 consid. 5.2).</w:t>
      </w:r>
    </w:p>
    <w:p>
      <w:r>
        <w:rPr>
          <w:b/>
        </w:rPr>
        <w:t>E. 3.2</w:t>
      </w:r>
    </w:p>
    <w:p>
      <w:r>
        <w:t>C’est à juste titre que les premiers juges ont prononcé une peine sévère à l’encontre de l’appelant. D’abord, ils ont apprécié correctement le rôle de ce dernier dans le cadre de son trafic de stupéfiants et leurs constats à cet égard ne reposent sur aucun fait erroné. Le constat des premiers juges selon lequel l’appelant ne pouvait pas être désigné comme le chef de la bande ne les empêchait pas de considérer qu’il avait joué un rôle prépondérant dans le trafic et mis sur pied une organisation bien rôdée. Pour parvenir à ce constat, les premiers juges se sont fondés sur plusieurs témoignages de toxicomanes (jgt, p. 14) et l’appelant échoue à démontrer que son rôle aurait mal été apprécié par ces derniers au moment de fixer la peine. L’appelant soutient également en vain qu’il n’aurait pas eu « d’autre choix que de se résoudre à vendre de la drogue pour préserver des conditions minimales d’existences ». Là également, les premiers juges ont relevé à juste titre que d’autres choix se présentaient à l’appelant, puisqu’il avait bénéficié d’une aide au retour dans son pays d’origine dont il n’avait pas voulu, l’estimant insuffisante. Il a donc fait le choix de rester en Suisse pour se procurer les revenus substantiels provenant d’un trafic de stupéfiants et a effectivement agi, comme cela a été retenu dans le jugement entrepris, par appât du gain. Quant à l’effet de la peine sur l’avenir, il ne peut aboutir, comme on l’a vu, qu’à des corrections minimes. Or, l’appelant doit se voir condamner, pour des motifs de prévention spéciale, à une peine privative de liberté ferme d’une certaine durée. Il s’agit en effet de la sixième condamnation prononcée à son encontre par les autorités judiciaires, étant précisé qu’il a déjà été condamné à un genre de peine identique de plus de deux ans par le passé pour avoir participé à un brigandage. L’appelant montre ainsi une propension inquiétante à la délinquance, qu’aucune peine de prison n’est parvenue à infléchir pour le moment. C’est donc à nouveau à juste titre que les premiers juges ont considéré qu’aucune circonstance atténuante ne pouvait être retenue en faveur de l’appelant. A toutes fins utiles, il y a lieu de préciser que la comparaison de l’appelant avec une autre affaire (TF 6B_85/2013 du 4 mars 2013) est vaine, dès lors que la cour de céans avait dans cet autre cas, sur appel du Ministère public, augmenté la peine à 4 ans et demi, soit une peine supérieure à celle prononcée dans le cas présent. Cependant, la peine qui doit être prononcée en la circonstance est entièrement complémentaire à la peine privative de liberté de 120 jours prononcée le 22 juin 2015 par le Ministère public de l’arrondissement de Lausanne. Les premiers juges ont simplement mentionné que l’impact de la peine complémentaire était modeste, sans toutefois préciser plus avant l’effet de cet impact. Il convient dès lors de considérer que la peine d’ensemble qui doit être infligée à M.________ doit, au regard des éléments retenus dans le cadre de la fixation de la peine exposés ci-dessus, bien être arrêtée à 40 mois, de sorte que c’est une peine privative de liberté complémentaire de 36 mois qui doit être prononcée dans le cas d’espèce. Partant, la quotité de la peine privative de liberté sera réduite à 36 mois. En outre, la détention avant jugement sera déduite, de même que les 13 jours de détention effectués dans des conditions illicites, à titre d’indemnité pour tort moral.</w:t>
      </w:r>
    </w:p>
    <w:p>
      <w:r>
        <w:rPr>
          <w:b/>
        </w:rPr>
        <w:t>E. 4</w:t>
      </w:r>
    </w:p>
    <w:p>
      <w:r>
        <w:t>En définitive, l’appel de M.________ doit être partiellement admis. Le défenseur d’office de l’intéressé a déposé une liste d’opérations faisant état de 29 heures et 15 minutes, ainsi que des débours pour 446 fr. 60, hors taxe. Cependant, compte tenu de la nature de l’appel, qui ne porte que sur la quotité de la peine, le temps de travail allégué est excessif, quand bien même l’avocat a dû prendre connaissance de l’entier du dossier. Il convient de retrancher plusieurs heures de la liste d’opérations produite, lesquelles n’étaient pas nécessaires au traitement du dossier, correspondant au temps excessif allégué concernant la lecture et l’examen du dossier, les recherches de jurisprudence et les opérations à venir, et le poste lié à la correction de la déclaration d’appel. Le temps de l’audience sera également réduit, puisque celle-ci a duré moins de 30 minutes. En définitive, il sera tenu compte de 15 heures de travail d’avocat (15 x 180 fr. = 2700 fr.), de 3 heures de travail d’avocat-stagiaire (3 x 110 fr. = 330 fr.), d’une vacation d’avocat et d’une vacation d’avocat-stagiaire (120 + 80 = 200 fr.) et de débours pour un montant forfaitaire de 50 francs. L’indemnité du défenseur d’office pour la procédure d’appel sera par conséquent arrêtée à 3'280 fr., plus la TVA, par 262 fr. 40, soit à un montant total de 3'542 fr. 40. Au vu du sort de la procédure, les frais d’appel, constitués de l’émolument du jugement (art. 422 al. 1 CPP), par 1’500 fr. (art. 21 al. 1 et 2 TFIP [Tarif des frais de procédure et indemnités en matière pénale du 28 septembre 2010 ; RSV 312.03.1]), et de l’indemnité allouée au défenseur d’office (art. 422 al. 1 et 2 let. a CPP), par 3'542 fr. 40, seront mis pour moitié à la charge de l’appelant (art. 428 al. 1 CPP), le solde devant être laissé à la charge de l’Etat. M.________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