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133 vom 15. Januar 2016</w:t>
      </w:r>
    </w:p>
    <w:p>
      <w:r>
        <w:t>VD Tribunal cantonal, 2016-01-15, FR</w:t>
      </w:r>
    </w:p>
    <w:p>
      <w:r>
        <w:rPr>
          <w:b/>
        </w:rPr>
        <w:t xml:space="preserve">Quelle: </w:t>
      </w:r>
      <w:r>
        <w:t>https://mcp.opencaselaw.ch/entscheid/vd_findinfo_Jug___2016___133</w:t>
      </w:r>
    </w:p>
    <w:p>
      <w:r>
        <w:t>FR: VD_FINDINFO Jug / 2016 / 133 du 15 janvier 2016</w:t>
      </w:r>
    </w:p>
    <w:p>
      <w:r>
        <w:t>IT: VD_FINDINFO Jug / 2016 / 133 del 15 gennaio 2016</w:t>
      </w:r>
    </w:p>
    <w:p>
      <w:pPr>
        <w:pStyle w:val="Heading2"/>
      </w:pPr>
      <w:r>
        <w:t>Regeste</w:t>
      </w:r>
    </w:p>
    <w:p>
      <w:r>
        <w:t>CONTRAVENTION, PRÉSOMPTION D'INNOCENCE | 10 CPP (CH), 398 al. 4 CPP (CH)</w:t>
      </w:r>
    </w:p>
    <w:p>
      <w:pPr>
        <w:pStyle w:val="Heading2"/>
      </w:pPr>
      <w:r>
        <w:t>Erwägungen</w:t>
      </w:r>
    </w:p>
    <w:p>
      <w:r>
        <w:rPr>
          <w:b/>
        </w:rPr>
        <w:t>E. 1.1</w:t>
      </w:r>
    </w:p>
    <w:p>
      <w:r>
        <w:t>Interjeté dans les formes et délai légaux (art. 399 CPP [ Code de procédure pénale suisse du 5 octobre 2007 ; RS 312.0 ] ) par une partie ayant la qualité pour recourir contre le jugement d’un tribunal de première instance ayant clos la procédure (art. 398 al. 1 CPP), l’appel de V.________ est recevable. S’agissant d’un appel dirigé contre une contravention, la procédure écrite est applicable (art. 406 al. 1 let. c CPP) et la cause relève de la compétence d’un juge unique (art. 14 al. 3 LVCPP [Loi d'introduction du Code de procédure pénale suisse du 19 mai 2009 ; RSV 312.01]).</w:t>
      </w:r>
    </w:p>
    <w:p>
      <w:r>
        <w:rPr>
          <w:b/>
        </w:rPr>
        <w:t>E. 1.2</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nn. 22-23 ad art. 398 CPP). En l'espèce, seule une contravention à la législation sur la circulation routière a fait l’objet de la procédure de première instance, de sorte que l'appel est restreint. Le pouvoir d'examen de l'autorité d'appel est ainsi limité dans l'appréciation des faits à ce qui a été établi de manière arbitraire, la formulation de l'art. 398 al.</w:t>
      </w:r>
    </w:p>
    <w:p>
      <w:r>
        <w:rPr>
          <w:b/>
        </w:rPr>
        <w:t>E. 4</w:t>
      </w:r>
    </w:p>
    <w:p>
      <w:r>
        <w:t>CPP correspondant à celle de l'art. 97 al. 1 LTF. En revanche, la juridiction d'appel peut revoir librement le droit (cf. TF 6B_1247/2013 du 13 mars 2014 consid. 1.2 et les références citées). 2. L’appelant reproche à l’autorité précédente d’avoir établi les faits de manière arbitraire et d’avoir violé le principe de la présomption d’innocence. Il conteste la force probante du rapport de police, celui-ci étant lacunaire, dès lors qu’il ne contiendrait aucune indication sur l’endroit précis où se trouvaient les agents de police, ni sur les conditions de circulation et sur les conditions météorologiques au moment de l’interpellation, ni sur la durée et le genre de manipulation du téléphone. 2.1 2.1.1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op. cit., n. 28 ad art. 398 CPP). 2.1.2 Aux termes de l'art. 31 al. 1 LCR (Loi fédérale sur la circulation routière du 19 décembre 1958 ; RS 741.01), le conducteur doit rester constamment maître de son véhicule de façon à pouvoir se conformer aux devoirs de prudence. Selon l’art. 3 al. 1 OCR (Ordonnance fédérale sur les règles de la circulation routière du 13 novembre 1962 ; RS 741.11), le conducteur vouera son attention à la route et à la circulation. Il évitera toute occupation qui rendrait plus difficile la conduite du véhicule. Il veillera en outre à ce que son attention ne soit notamment distraite ni par un appareil reproducteur de son ni par un quelconque système d’information ou de communication. La violation simple de cette règle de circulation est punie de l’amende (art. 90 al. 1 LCR ; cf. TF 6B_965/2011 du 17 mai 2011 consid. 2.1). Le fait de tenir une conversation téléphonique en conduisant ne viole pas encore l’art. 3 al. 1 OCR puisque cela n’exige pas plus de concentration qu’une conversation avec les occupants d’un véhicule. En revanche, le fait de tenir un téléphone ou de le manipuler peut constituer une occupation rendant plus difficile la conduite du véhicule ou distrayant son chauffeur (art. 3 al. 1, 2 e et 3 e phrases OCR). Le conducteur doit en effet tenir le volant avec une main au moins et doit faire en sorte que l’autre, si elle n’est pas sur le volant, soit disponible à tout instant pour d’autres actions nécessaires, comme par exemple pour actionner l’avertisseur, le clignotant, le levier de vitesse ou l’essuie-glace (TF 6B_1183/2014 du 27 octobre 2015 consid. 1.3 ; ATF 120 IV 63 consid. 2d, JdT 1994 I 697). Lorsque le conducteur manipule un objet d’une main tout en actionnant le véhicule de l’autre, cette occupation rend plus difficile la conduite du véhicule si elle dure plus d’un court instant et si elle oblige le conducteur à modifier la position de son corps ou à détourner son regard du trafic (TF 6B_1183/2014 du 27 octobre 2015 consid. 1.3 et 1.4 ; ATF 120 IV 63 consid. 2d, JdT 1994 I 697). Le Tribunal fédéral arrive à la conclusion que, dans de telles circonstances, la complication de la conduite est illicite et viole l’art. 31 al. 1 et 3 LCR en lien avec l’art. 3 al. 1 OCR car la main manipulant un appareil est indisponible pour exécuter les mesures de prudence que pourraient imposer les circonstances, soit d’enclencher un clignotant, effectuer une manœuvre d’évitement ou encore un freinage d’urgence (TF 6B_1183/2014 du 27 octobre 2015 consid. 1.4 ; ATF 120 IV 63 consid. 2e, JdT 1994 I 697). Le Tribunal fédéral a en outre jugé que l’utilisation d’un dispositif radio dans des circonstances identiques à celles décrites ci-dessus est également une action illicite (TF 6B_1183/2014 du 27 octobre 2015 consid. 1.4 ; TF 6B_2/2010 du 16 mars 2010 consid. 1.5), de même que le fait de ramasser son téléphone portable tombé au sol (TF 1C_299/2007 du 11 janvier 2008 consid. 2.2). 2.2 Selon le rapport de police du 17 juin 2015, les deux agents, qui étaient postés le jour des faits sur la route de [...], à [...], ont constaté que l’appelant circulait sur ladite route en direction de [...] en tenant et manipulant un téléphone portable dans sa main droite et qu’il était de ce fait inattentif à la route. Il n’y a en l’espèce aucun motif permettant de s’écarter des constatations policières ou de douter de la crédibilité des agents, rompus à ce genre d’exercice, ce d’autant que l’appelant a reconnu le bien-fondé de leur intervention lorsqu’il a été intercepté. Bien que succinct, le rapport de police est clair, complet et suffisamment motivé. Les policiers ont non seulement constaté que l’appelant tenait un téléphone portable de sa main droite, mais aussi qu’il procédait à des manipulations sur l’appareil. L’appelant soutient que les termes « tenir » et « manipuler » auraient une définition identique. Or, tel n’est pas le cas ici. Tenir ou manipuler un appareil sont à l’évidence deux actions distinctes et ne se confondent pas. Les policiers n’auraient au demeurant pas utilisé deux termes différents pour faire état d’une seule action. En outre, en cas de doute sur leurs constatations, les agents n’auraient pas pris la peine de poursuivre et d’intercepter V.________. Il est manifeste que le genre d’opérations reproché à l’appelant, tendant à manipuler un téléphone portable, nécessite une certaine concentration et a pour conséquence une perte automatique d’attention sur la route, ce qui a été expressément relevé par les policiers. Partant, le cas d’espèce n’est en rien comparable à l’arrêt du Tribunal fédéral 6B_1183/2014 invoqué par l’appelant, dans lequel l’automobiliste ne faisait que tenir son appareil. Par ailleurs, quand bien même il conviendrait de préférer la version de l’appelant selon laquelle il aurait ramassé son téléphone portable tombé à ses pieds, la solution serait la même. En procédant de la sorte, l’appelant aurait baissé l’un de ses bras pour tâtonner le sol à la recherche de son appareil et n’aurait pas eu d’autre choix que de modifier complétement la position de son corps, de sorte qu’il n’aurait de toute manière pas pu être attentif à la circulation. Au vu des éléments qui précèdent, c’est à juste titre que le premier juge a considéré que l’appelant s’était bien rendu coupable de violation simple des règles de la circulation routière au sens de l’art. 90 al. 1 LCR. 3. En définitive, l’appel interjeté par V.________ doit être rejeté et le jugement entrepris intégralement confirmé. Vu le sort de la procédure, les frais d’appel, comprenant l’émolument d’arrêt, par 810 fr. (art. 21 al. 1 TFIP  [Tarif des frais de procédure et indemnités en matière pénale du 28 septembre 2010 ; RSV 312.03.1]), doivent être mis à la charge de V.________ (art. 428 al.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