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13 vom 18. September 2015</w:t>
      </w:r>
    </w:p>
    <w:p>
      <w:r>
        <w:t>VD Tribunal cantonal, 2015-09-18, FR</w:t>
      </w:r>
    </w:p>
    <w:p>
      <w:r>
        <w:rPr>
          <w:b/>
        </w:rPr>
        <w:t xml:space="preserve">Quelle: </w:t>
      </w:r>
      <w:r>
        <w:t>https://mcp.opencaselaw.ch/entscheid/vd_findinfo_Jug___2016___13</w:t>
      </w:r>
    </w:p>
    <w:p>
      <w:r>
        <w:t>FR: VD_FINDINFO Jug / 2016 / 13 du 18 septembre 2015</w:t>
      </w:r>
    </w:p>
    <w:p>
      <w:r>
        <w:t>IT: VD_FINDINFO Jug / 2016 / 13 del 18 settembre 2015</w:t>
      </w:r>
    </w:p>
    <w:p>
      <w:pPr>
        <w:pStyle w:val="Heading2"/>
      </w:pPr>
      <w:r>
        <w:t>Regeste</w:t>
      </w:r>
    </w:p>
    <w:p>
      <w:r>
        <w:t>ADMISSION DE LA DEMANDE, LÉSION CORPORELLE SIMPLE, CONJOINT | 123 ch. 1 CP, 123 ch. 2 al. 3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L’appelante conteste l’acquittement de l’intimé. Elle invoque une constatation erronée et incomplète des faits. Elle fait valoir que les premières déclarations du prévenu, les lésions qui lui ont été infligées, de même que celles de sa partie adverse, démontreraient qu’elle a été agressée par son conjoint et frappée de coups de poing au visage, conformément à ce qu’elle a toujours soutenu et conformément aux faits tels que décrits dans l’acte d’accusation.</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3.3</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la présomption d'innocence est violée si le juge du fond se déclare convaincu de faits défavorables à l'accusé sur lesquels, compte tenu des éléments de preuve qui lui sont soumis, il aurait au contraire dû, objectivement, éprouver des doutes ; on parle alors de doutes raisonnables.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3.4</w:t>
      </w:r>
    </w:p>
    <w:p>
      <w:r>
        <w:t>En l’occurrence, pour renvoyer dos à dos les parties, en considérant qu’aucune des versions contradictoires n’emportaient sa conviction, le premier juge a retenu que le seul témoin des faits n’avait pas assisté à l’altercation, que cette violente dispute entre B.V.________ et A.V.________ s’inscrivait dans le contexte d’un confit conjugal particulièrement aigu, en particulier au sujet du droit de visite sur l’enfant du couple, que les déclarations des parties avaient quelque peu varié et que les certificats médicaux ne permettaient pas de trancher entre les versions, en particulier, il n’était pas possible de retenir que les lésions subies par l’appelante seraient la résultante de coups plutôt que d’une chute. Toutefois, la simple vue de la photographie du visage ensanglanté de A.V.________ prise juste après les faits (P. 6) et la description des lésions à son visage, telle que contenue dans le certificat médical du 6 avril 2012 (P. 5), permet de considérer comme peu plausible l’éventualité qu’une chute serait à l’origine de ces lésions subies par l’appelante. La multiplicité des plaies (transverse et longitudinale) sur le nez, les tuméfactions de la lèvre et de l’arête du nez, les rougeurs sur le front et les douleurs à la palpation de l’arcade gauche suggèrent bien au contraire que des coups ont été donnés sur le visage de la victime. L’examen médical ultérieur de l’hôpital de zone de Nyon confirmera d’ailleurs la suspicion de fracture de l’os du nez mentionnée dans ce certificat (P. 58/2). Le tableau lésionnel correspond typiquement aux effets d’une agression à coups de poings. A l’inverse, le tableau lésionnel de l’intimé évoque le rôle de l’agresseur : pas de plaie visible sur le tronc ou la tête et des dermabrasions sur les articulations des mains gauche et droite (P. 8 et les photos sous P. 10). Entendu le 8 avril 2012, le prévenu avait admis avoir donné un coup de poing sur la figure de sa femme, après avoir reçu un coup sur son avant-bras gauche destiné à lui faire lâcher prise et un coup du plat de la main sur le front (P. 4, p. 7). Il a précisé ultérieurement avoir donné un coup de poing dans un état de légitime défense, son coup atteignant toutefois son épouse avant qu’il n’en reçoive un (jugement entrepris, p. 18). Cette version n’est pas crédible. Les constats médicaux montrent en effet que l’appelante a été beaucoup plus gravement touchée que l’intimé, qui n’a présenté aucune lésion au visage. B.V.________ n’est pas crédible non plus lorsqu’il explique que son épouse est beaucoup plus forte que lui, car elle pratique des arts martiaux et est de constitution robuste. Elle n’aurait alors pas présenté autant de blessures et lui aucune, si, comme il l’affirme, il se serait borné à se défendre. Il faut au contraire retenir qu’il a d’emblée pris l’avantage physiquement dans la confrontation en assénant des coups de poing qui ont blessé sa femme et causé les lésions décrites ci-dessus. Les contestations du témoin arrivé peu après l’attestent: A.V.________ était assise par terre le visage en sang. Il y avait beaucoup de sang (PV aud. 2, l. 39), ce qui confirme que la victime saignait au visage avant sa ou ses chutes. Le fait que l’appelante a peut-être été vindicative dans le cadre du litige avec son époux au sujet de la garde de leur enfant n’a pas les conséquences probatoires que le premier juge a voulu discerner. C’est probablement parce que le prévenu était contrarié par les circonstances de remise de l’enfant […] pour l’exercice de son droit de visite qu’il a agressé son épouse. Il admet d’ailleurs avoir mis le pied dans l’ouverture de la porte pour l’empêcher de se refermer (P. 4, p. 7). Il est donc établi que l’appelante voulait clore la dispute et que c’est l’intimé qui s’est interposé pour la poursuivre dans le logement. Cette attitude agressive, par le fait de s’interposer physiquement, exclut aussi d’admettre, même au bénéfice du doute, que l’intimé se soit borné à une défense. Les faits tels que décrits dans l’acte d’accusation doivent en définitive être retenus.</w:t>
      </w:r>
    </w:p>
    <w:p>
      <w:r>
        <w:rPr>
          <w:b/>
        </w:rPr>
        <w:t>E. 4.1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Selon la jurisprudence, il y a lésion corporelle simple par exemple en cas de blessures, meurtrissures, écorchures ou griffures (ATF 134 IV 189, consi. 1.1). Le Tribunal fédéral a ainsi jugé qu’il y avait lésions corporelles simples dans le cas d’un coup de poing au visage donné avec une violence brutale propre à provoquer d’importante meurtrissures, voire une fracture de la mâchoire, des dents ou de l’os nasal (ATF 134 IV 189 consid. 1.3 ; ATF 119 IV 25 consid. 2a). Ainsi, un coup de poing entraînant une lésion du corps humain doit être qualifiée de lésion corporelle (cf. ATF 119 IV 25 consid. 2a).</w:t>
      </w:r>
    </w:p>
    <w:p>
      <w:r>
        <w:rPr>
          <w:b/>
        </w:rPr>
        <w:t>E. 4.2</w:t>
      </w:r>
    </w:p>
    <w:p>
      <w:r>
        <w:t>En l’occurrence, B.V.________ a porté plusieurs coups de poing à l’appelante lui occasionnant plusieurs blessures, dont une fracture du nez. Ces lésions sont d’une intensité certaine, allant au-delà des simples voies de fait. Partant, à l’instar du premier juge, la Cour de céans considère que la fracture du nez dont a souffert l’appelante doit être qualifiée de lésions corporelles simples. Dès lors que B.V.________ était encore marié à A.V.________ au moment des faits, il doit être condamné pour lésions corporelles simples qualifiées au sens de l’art. 123 ch. 1 et 2 al. 3 CP.</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5.1.2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consid. 3.1.2 ; ATF 134 IV I consid. 4.2.2).</w:t>
      </w:r>
    </w:p>
    <w:p>
      <w:r>
        <w:rPr>
          <w:b/>
        </w:rPr>
        <w:t>E. 5.2</w:t>
      </w:r>
    </w:p>
    <w:p>
      <w:r>
        <w:t>En l’espèce, la culpabilité de B.V.________ est importante. Bien que cet épisode violent soit intervenu au cœur d’une situation conflictuelle particulière où B.V.________ et A.V.________ se disputaient depuis des mois, le premier nommé n’a pas hésité à frapper son épouse et à lui mettre le visage en sang devant leur fils, âgé de seulement six ans. B.V.________ n’a jamais reconnu ses gestes et a persisté à soutenir que c’est son épouse qui l’avait agressé et qu’il n’avait eu que des gestes de défense. Par conséquent, une peine pécuniaire de 120 jours-amende est adéquate pour sanctionner le comportement fautif de B.V.________. Le montant du jour-amende sera fixé à 20 fr., pour tenir compte de sa situation financière. Compte tenu de la relative ancienneté des faits et de l’absence d’antécédents, le sursis doit être accordé avec un délai d’épreuve de deux ans.</w:t>
      </w:r>
    </w:p>
    <w:p>
      <w:r>
        <w:rPr>
          <w:b/>
        </w:rPr>
        <w:t>E. 6.1</w:t>
      </w:r>
    </w:p>
    <w:p>
      <w:r>
        <w:t>L’appelante a conclu à l’octroi d’une indemnité pour tort moral à hauteur de 2'000 francs.</w:t>
      </w:r>
    </w:p>
    <w:p>
      <w:r>
        <w:rPr>
          <w:b/>
        </w:rPr>
        <w:t>E. 6.2</w:t>
      </w:r>
    </w:p>
    <w:p>
      <w:r>
        <w:t>Aux termes de l’art. 47 CO, le juge peut, en tenant compte de circonstances particulières, allouer à la victime de lésions corporelles ou, en cas de mort d’homme, à la famille une indemnité équitable à titre de réparation morale. L’ampleur de la réparation morale prévue par cette disposition légale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consid. 2a).</w:t>
      </w:r>
    </w:p>
    <w:p>
      <w:r>
        <w:rPr>
          <w:b/>
        </w:rPr>
        <w:t>E. 6.3</w:t>
      </w:r>
    </w:p>
    <w:p>
      <w:r>
        <w:t>En l’espèce, il ne fait pas de doute que A.V.________ a souffert physiquement de l’attaque violente qu’elle a subie en présence de […] , le jeune fils des parties. Le principe de l’allocation d’une indemnité pour tort moral se justifie ainsi pleinement et le montant de 2'000 fr. requis est raisonnable et adéquat.</w:t>
      </w:r>
    </w:p>
    <w:p>
      <w:r>
        <w:rPr>
          <w:b/>
        </w:rPr>
        <w:t>E. 7</w:t>
      </w:r>
    </w:p>
    <w:p>
      <w:r>
        <w:t>Le premier juge a mis une partie des frais de première instance à la charge de A.V.________ principalement pour les motifs qu’elle aurait porté des coups à B.V.________. La Cour de céans ayant retenu la version de l’appelante, ces motifs ne sont plus pertinents. Partant, les frais de première instance, arrêtés à 9'930 fr. doivent être entièrement mis à la charge du prévenu, qui succombe à l’action pénale (art. 428 al. 1 CPP, applicable à la procédure de première instance par renvoi de l’art. 416 CPP). Ces frais comprennent l’indemnité de 3'200 fr. allouée à Me Laurent Schüler, défenseur d’office de B.V.________. A.V.________ obtenant gain de cause, elle a droit à une juste indemnité pour les dépenses occasionnées par la procédure de première instance (cf. art. 433 al. 1 let. a CPP). Au vu de la difficulté de l’affaire et du sort de la cause, le montant de 1'200 fr. requis est adéquat et lui sera alloué à ce titre. S’agissant des dépens réclamés pour la procédure d’appel, ceux-ci ne sont pas chiffrés comme l’exige l’art. 433 al. 2 CPP. La Cour de céans n’entrera par conséquent pas en matière sur ce point.</w:t>
      </w:r>
    </w:p>
    <w:p>
      <w:r>
        <w:rPr>
          <w:b/>
        </w:rPr>
        <w:t>E. 8</w:t>
      </w:r>
    </w:p>
    <w:p>
      <w:r>
        <w:t>En définitive, l’appel de A.V.________ doit être admis et le jugement attaqué réformé dans le sens des considérants qui précèdent. Vu l'issue de la cause, les frais de la procédure d’appel, constitués en l’espèce de l’émolument d’arrêt, par 1’720 fr. (art. 21 al. 1 et 2 TFIP [Tarif des frais de procédure et indemnités en matière pénale du 28 septembre 2010; RSV 312.03.1]), ainsi que de l’indemnité allouée à Me Laurent Schüler, par 1'500 fr. 10, TVA et débours inclus (P. 111) doivent être mis à la charge de B.V.________ (art. 428 al. 1 CPP).</w:t>
      </w:r>
    </w:p>
    <w:p>
      <w:r>
        <w:rPr>
          <w:b/>
        </w:rPr>
        <w:t>E. 9</w:t>
      </w:r>
    </w:p>
    <w:p>
      <w:r>
        <w:t>Le dispositif adressé aux parties le 18 janvier 2016 comporte une inadvertance manifeste et doit être complété par l’adjonction d’un chiffre I. ter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